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FD0" w:rsidRDefault="00717FD0" w:rsidP="00616D25">
      <w:pPr>
        <w:rPr>
          <w:rFonts w:ascii="Arial" w:hAnsi="Arial" w:cs="Arial"/>
          <w:b/>
          <w:sz w:val="36"/>
          <w:szCs w:val="36"/>
        </w:rPr>
      </w:pPr>
    </w:p>
    <w:p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rsidR="007E12FE" w:rsidRPr="00FB1F1B" w:rsidRDefault="007E12FE" w:rsidP="007E12FE">
      <w:pPr>
        <w:pStyle w:val="GPSL2NumberedBoldHeading"/>
        <w:numPr>
          <w:ilvl w:val="0"/>
          <w:numId w:val="0"/>
        </w:numPr>
        <w:jc w:val="left"/>
        <w:rPr>
          <w:rFonts w:ascii="Arial" w:hAnsi="Arial"/>
          <w:sz w:val="24"/>
          <w:highlight w:val="yellow"/>
        </w:rPr>
      </w:pPr>
    </w:p>
    <w:p w:rsidR="001A2363" w:rsidRDefault="001A2363" w:rsidP="002D184F">
      <w:pPr>
        <w:pStyle w:val="Heading1"/>
        <w:keepLines w:val="0"/>
        <w:numPr>
          <w:ilvl w:val="0"/>
          <w:numId w:val="11"/>
        </w:numPr>
        <w:adjustRightInd w:val="0"/>
        <w:spacing w:before="0" w:after="120" w:line="240" w:lineRule="auto"/>
        <w:jc w:val="both"/>
        <w:rPr>
          <w:sz w:val="32"/>
          <w:szCs w:val="32"/>
        </w:rPr>
      </w:pPr>
      <w:r>
        <w:rPr>
          <w:sz w:val="32"/>
          <w:szCs w:val="32"/>
        </w:rPr>
        <w:t>PURPOSE</w:t>
      </w:r>
    </w:p>
    <w:p w:rsidR="001A2363" w:rsidRDefault="001A2363" w:rsidP="002D184F">
      <w:pPr>
        <w:numPr>
          <w:ilvl w:val="1"/>
          <w:numId w:val="11"/>
        </w:numPr>
        <w:spacing w:after="120" w:line="240" w:lineRule="auto"/>
        <w:ind w:left="709" w:hanging="709"/>
        <w:rPr>
          <w:sz w:val="24"/>
        </w:rPr>
      </w:pPr>
      <w:r>
        <w:rPr>
          <w:sz w:val="24"/>
        </w:rPr>
        <w:t>The Evaluation Task Force (ETF) (referred to as ‘the Authority’ hereafter) is looking for a research organisation to carry out a review of the evaluation arrangements in place for projects across the Government Major Projects Portfolio. This will involve reviewing evaluation plans for each project, identifying where and how improvements could be made, and producing practical guidance/tools to support major project teams with the design of robust evaluations.</w:t>
      </w:r>
    </w:p>
    <w:p w:rsidR="001A2363" w:rsidRDefault="001A2363" w:rsidP="002D184F">
      <w:pPr>
        <w:pStyle w:val="Heading1"/>
        <w:keepLines w:val="0"/>
        <w:numPr>
          <w:ilvl w:val="0"/>
          <w:numId w:val="11"/>
        </w:numPr>
        <w:adjustRightInd w:val="0"/>
        <w:spacing w:before="0" w:after="120" w:line="240" w:lineRule="auto"/>
        <w:jc w:val="both"/>
        <w:rPr>
          <w:sz w:val="32"/>
          <w:szCs w:val="32"/>
        </w:rPr>
      </w:pPr>
      <w:bookmarkStart w:id="73" w:name="_heading=h.tyjcwt" w:colFirst="0" w:colLast="0"/>
      <w:bookmarkEnd w:id="73"/>
      <w:r>
        <w:rPr>
          <w:sz w:val="32"/>
          <w:szCs w:val="32"/>
        </w:rPr>
        <w:t>BACKGROUND TO THE CONTRACTING aUTHORITY</w:t>
      </w:r>
    </w:p>
    <w:p w:rsidR="001A2363" w:rsidRDefault="001A2363" w:rsidP="002D184F">
      <w:pPr>
        <w:numPr>
          <w:ilvl w:val="1"/>
          <w:numId w:val="11"/>
        </w:numPr>
        <w:spacing w:after="120" w:line="240" w:lineRule="auto"/>
        <w:ind w:left="709" w:hanging="709"/>
        <w:rPr>
          <w:sz w:val="24"/>
        </w:rPr>
      </w:pPr>
      <w:r>
        <w:rPr>
          <w:sz w:val="24"/>
        </w:rPr>
        <w:t xml:space="preserve">The ETF is a joint Cabinet Office and HM Treasury unit set up in April 2021 to drive improvements in evaluation practice across government and put evaluation evidence at the heart of government decisions. The ETF provides government departments with ‘reactive’ evaluation advice and support (in response to department requests), as well as a ‘proactive’ scrutiny and challenge function (which is guided by HM Treasury priorities and key interests across government). </w:t>
      </w:r>
    </w:p>
    <w:p w:rsidR="001A2363" w:rsidRDefault="001A2363" w:rsidP="001A2363">
      <w:pPr>
        <w:ind w:left="720"/>
        <w:rPr>
          <w:sz w:val="24"/>
        </w:rPr>
      </w:pPr>
      <w:r>
        <w:rPr>
          <w:sz w:val="24"/>
        </w:rPr>
        <w:t xml:space="preserve">For more detail on who we are and what we do please refer to our </w:t>
      </w:r>
      <w:hyperlink r:id="rId8">
        <w:r>
          <w:rPr>
            <w:color w:val="1155CC"/>
            <w:sz w:val="24"/>
            <w:u w:val="single"/>
          </w:rPr>
          <w:t>strategy</w:t>
        </w:r>
      </w:hyperlink>
      <w:r>
        <w:rPr>
          <w:sz w:val="24"/>
        </w:rPr>
        <w:t>.</w:t>
      </w:r>
    </w:p>
    <w:p w:rsidR="001A2363" w:rsidRDefault="001A2363" w:rsidP="001A2363">
      <w:pPr>
        <w:rPr>
          <w:sz w:val="24"/>
        </w:rPr>
      </w:pPr>
    </w:p>
    <w:p w:rsidR="001A2363" w:rsidRDefault="001A2363" w:rsidP="002D184F">
      <w:pPr>
        <w:pStyle w:val="Heading1"/>
        <w:keepLines w:val="0"/>
        <w:numPr>
          <w:ilvl w:val="0"/>
          <w:numId w:val="11"/>
        </w:numPr>
        <w:adjustRightInd w:val="0"/>
        <w:spacing w:before="0" w:after="120" w:line="240" w:lineRule="auto"/>
        <w:jc w:val="both"/>
        <w:rPr>
          <w:sz w:val="32"/>
          <w:szCs w:val="32"/>
        </w:rPr>
      </w:pPr>
      <w:bookmarkStart w:id="74" w:name="_heading=h.3dy6vkm" w:colFirst="0" w:colLast="0"/>
      <w:bookmarkEnd w:id="74"/>
      <w:r>
        <w:rPr>
          <w:sz w:val="32"/>
          <w:szCs w:val="32"/>
        </w:rPr>
        <w:t>Background to requirement/OVERVIEW of requirement</w:t>
      </w:r>
    </w:p>
    <w:p w:rsidR="001A2363" w:rsidRDefault="001A2363" w:rsidP="002D184F">
      <w:pPr>
        <w:numPr>
          <w:ilvl w:val="1"/>
          <w:numId w:val="11"/>
        </w:numPr>
        <w:spacing w:before="60" w:after="60"/>
        <w:rPr>
          <w:sz w:val="26"/>
          <w:szCs w:val="26"/>
        </w:rPr>
      </w:pPr>
      <w:r>
        <w:rPr>
          <w:sz w:val="24"/>
        </w:rPr>
        <w:t xml:space="preserve">The ETF is looking for a research partner to review the evaluation arrangements in place for each of the ~235 major projects on the Government Major Projects Portfolio (GMPP) representing £678 billion of government spending. As set out in the most recent </w:t>
      </w:r>
      <w:hyperlink r:id="rId9">
        <w:r>
          <w:rPr>
            <w:i/>
            <w:color w:val="1155CC"/>
            <w:sz w:val="24"/>
            <w:u w:val="single"/>
          </w:rPr>
          <w:t>Annual Report on Major Projects</w:t>
        </w:r>
      </w:hyperlink>
      <w:r>
        <w:rPr>
          <w:sz w:val="24"/>
        </w:rPr>
        <w:t xml:space="preserve">, the purpose of the GMPP is to ensure robust oversight of the largest and highest risk projects and programmes delivered by government. However, there is a significant lack of good quality evaluation being carried out across the GMPP. This, and the challenges to shifting this position, were highlighted in a recent </w:t>
      </w:r>
      <w:hyperlink r:id="rId10">
        <w:r>
          <w:rPr>
            <w:color w:val="1155CC"/>
            <w:sz w:val="24"/>
            <w:u w:val="single"/>
          </w:rPr>
          <w:t>National Audit Office (NAO) report</w:t>
        </w:r>
      </w:hyperlink>
      <w:r>
        <w:rPr>
          <w:sz w:val="24"/>
        </w:rPr>
        <w:t xml:space="preserve"> and </w:t>
      </w:r>
      <w:hyperlink r:id="rId11">
        <w:r>
          <w:rPr>
            <w:color w:val="1155CC"/>
            <w:sz w:val="24"/>
            <w:u w:val="single"/>
          </w:rPr>
          <w:t>Public Accounts Committee (PAC) inquiry.</w:t>
        </w:r>
      </w:hyperlink>
      <w:r>
        <w:rPr>
          <w:sz w:val="24"/>
        </w:rPr>
        <w:t xml:space="preserve"> </w:t>
      </w:r>
    </w:p>
    <w:p w:rsidR="001A2363" w:rsidRDefault="001A2363" w:rsidP="002D184F">
      <w:pPr>
        <w:numPr>
          <w:ilvl w:val="1"/>
          <w:numId w:val="11"/>
        </w:numPr>
        <w:spacing w:before="60" w:after="60"/>
        <w:rPr>
          <w:sz w:val="28"/>
          <w:szCs w:val="28"/>
        </w:rPr>
      </w:pPr>
      <w:r>
        <w:rPr>
          <w:sz w:val="24"/>
        </w:rPr>
        <w:t xml:space="preserve">The NAO and PAC have drawn attention to a previous review, conducted by the Prime Minister’s Implementation Unit (PMIU) in 2019, which showed that the effectiveness of only 8% of spending on government major projects was being robustly evaluated (details behind the PMIU findings and methodology can be found </w:t>
      </w:r>
      <w:r>
        <w:rPr>
          <w:sz w:val="24"/>
        </w:rPr>
        <w:lastRenderedPageBreak/>
        <w:t xml:space="preserve">at Annex A). This requires updating to reflect changes in the GMPP and progress in evaluation plans since the time of the previous review. </w:t>
      </w:r>
    </w:p>
    <w:p w:rsidR="001A2363" w:rsidRDefault="001A2363" w:rsidP="002D184F">
      <w:pPr>
        <w:pStyle w:val="Heading1"/>
        <w:keepLines w:val="0"/>
        <w:numPr>
          <w:ilvl w:val="0"/>
          <w:numId w:val="11"/>
        </w:numPr>
        <w:adjustRightInd w:val="0"/>
        <w:spacing w:before="0" w:after="120" w:line="240" w:lineRule="auto"/>
        <w:jc w:val="both"/>
        <w:rPr>
          <w:sz w:val="32"/>
          <w:szCs w:val="32"/>
        </w:rPr>
      </w:pPr>
      <w:bookmarkStart w:id="75" w:name="_heading=h.4d34og8" w:colFirst="0" w:colLast="0"/>
      <w:bookmarkEnd w:id="75"/>
      <w:r>
        <w:rPr>
          <w:sz w:val="32"/>
          <w:szCs w:val="32"/>
        </w:rPr>
        <w:t xml:space="preserve">definitions </w:t>
      </w:r>
    </w:p>
    <w:tbl>
      <w:tblPr>
        <w:tblW w:w="8295" w:type="dxa"/>
        <w:tblInd w:w="60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375"/>
        <w:gridCol w:w="4920"/>
      </w:tblGrid>
      <w:tr w:rsidR="001A2363" w:rsidTr="00214116">
        <w:tc>
          <w:tcPr>
            <w:tcW w:w="3375" w:type="dxa"/>
            <w:shd w:val="clear" w:color="auto" w:fill="B8CCE4"/>
          </w:tcPr>
          <w:p w:rsidR="001A2363" w:rsidRPr="00CD12F0" w:rsidRDefault="001A2363" w:rsidP="00214116">
            <w:pPr>
              <w:pStyle w:val="Heading2"/>
              <w:spacing w:after="120"/>
              <w:ind w:left="1080"/>
              <w:rPr>
                <w:color w:val="000000" w:themeColor="text1"/>
                <w:sz w:val="24"/>
                <w:szCs w:val="24"/>
                <w:highlight w:val="yellow"/>
              </w:rPr>
            </w:pPr>
            <w:r w:rsidRPr="00CD12F0">
              <w:rPr>
                <w:color w:val="000000" w:themeColor="text1"/>
                <w:sz w:val="24"/>
                <w:szCs w:val="24"/>
              </w:rPr>
              <w:t>Expression or Acronym</w:t>
            </w:r>
          </w:p>
        </w:tc>
        <w:tc>
          <w:tcPr>
            <w:tcW w:w="4920" w:type="dxa"/>
            <w:shd w:val="clear" w:color="auto" w:fill="B8CCE4"/>
          </w:tcPr>
          <w:p w:rsidR="001A2363" w:rsidRPr="00CD12F0" w:rsidRDefault="001A2363" w:rsidP="00214116">
            <w:pPr>
              <w:pStyle w:val="Heading2"/>
              <w:spacing w:after="120"/>
              <w:ind w:left="1440" w:hanging="360"/>
              <w:rPr>
                <w:color w:val="000000" w:themeColor="text1"/>
                <w:sz w:val="24"/>
                <w:szCs w:val="24"/>
                <w:highlight w:val="yellow"/>
              </w:rPr>
            </w:pPr>
            <w:r w:rsidRPr="00CD12F0">
              <w:rPr>
                <w:color w:val="000000" w:themeColor="text1"/>
                <w:sz w:val="24"/>
                <w:szCs w:val="24"/>
              </w:rPr>
              <w:t>Definition</w:t>
            </w:r>
          </w:p>
        </w:tc>
      </w:tr>
      <w:tr w:rsidR="001A2363" w:rsidTr="00214116">
        <w:tc>
          <w:tcPr>
            <w:tcW w:w="3375" w:type="dxa"/>
          </w:tcPr>
          <w:p w:rsidR="001A2363" w:rsidRPr="00CD12F0" w:rsidRDefault="001A2363" w:rsidP="00214116">
            <w:pPr>
              <w:pStyle w:val="Heading2"/>
              <w:spacing w:after="120"/>
              <w:rPr>
                <w:b w:val="0"/>
                <w:color w:val="000000" w:themeColor="text1"/>
                <w:sz w:val="24"/>
                <w:szCs w:val="24"/>
              </w:rPr>
            </w:pPr>
            <w:bookmarkStart w:id="76" w:name="_heading=h.z3sl1ea47aa4" w:colFirst="0" w:colLast="0"/>
            <w:bookmarkEnd w:id="76"/>
            <w:r w:rsidRPr="00CD12F0">
              <w:rPr>
                <w:b w:val="0"/>
                <w:color w:val="000000" w:themeColor="text1"/>
                <w:sz w:val="24"/>
                <w:szCs w:val="24"/>
              </w:rPr>
              <w:t>ETF</w:t>
            </w:r>
          </w:p>
        </w:tc>
        <w:tc>
          <w:tcPr>
            <w:tcW w:w="4920" w:type="dxa"/>
          </w:tcPr>
          <w:p w:rsidR="001A2363" w:rsidRPr="00CD12F0" w:rsidRDefault="001A2363" w:rsidP="00214116">
            <w:pPr>
              <w:pStyle w:val="Heading2"/>
              <w:spacing w:after="120"/>
              <w:rPr>
                <w:b w:val="0"/>
                <w:color w:val="000000" w:themeColor="text1"/>
                <w:sz w:val="24"/>
                <w:szCs w:val="24"/>
              </w:rPr>
            </w:pPr>
            <w:bookmarkStart w:id="77" w:name="_heading=h.67tuzqecfap0" w:colFirst="0" w:colLast="0"/>
            <w:bookmarkEnd w:id="77"/>
            <w:r w:rsidRPr="00CD12F0">
              <w:rPr>
                <w:b w:val="0"/>
                <w:color w:val="000000" w:themeColor="text1"/>
                <w:sz w:val="24"/>
                <w:szCs w:val="24"/>
              </w:rPr>
              <w:t>Evaluation Task Force</w:t>
            </w:r>
          </w:p>
        </w:tc>
      </w:tr>
      <w:tr w:rsidR="001A2363" w:rsidTr="00214116">
        <w:tc>
          <w:tcPr>
            <w:tcW w:w="3375" w:type="dxa"/>
          </w:tcPr>
          <w:p w:rsidR="001A2363" w:rsidRPr="00CD12F0" w:rsidRDefault="001A2363" w:rsidP="00214116">
            <w:pPr>
              <w:pStyle w:val="Heading2"/>
              <w:spacing w:after="120"/>
              <w:rPr>
                <w:b w:val="0"/>
                <w:color w:val="000000" w:themeColor="text1"/>
                <w:sz w:val="24"/>
                <w:szCs w:val="24"/>
              </w:rPr>
            </w:pPr>
            <w:bookmarkStart w:id="78" w:name="_heading=h.zdyvpplvutki" w:colFirst="0" w:colLast="0"/>
            <w:bookmarkEnd w:id="78"/>
            <w:r w:rsidRPr="00CD12F0">
              <w:rPr>
                <w:b w:val="0"/>
                <w:color w:val="000000" w:themeColor="text1"/>
                <w:sz w:val="24"/>
                <w:szCs w:val="24"/>
              </w:rPr>
              <w:t>GMPP</w:t>
            </w:r>
          </w:p>
        </w:tc>
        <w:tc>
          <w:tcPr>
            <w:tcW w:w="4920" w:type="dxa"/>
          </w:tcPr>
          <w:p w:rsidR="001A2363" w:rsidRPr="00CD12F0" w:rsidRDefault="001A2363" w:rsidP="00214116">
            <w:pPr>
              <w:pStyle w:val="Heading2"/>
              <w:spacing w:after="120"/>
              <w:rPr>
                <w:b w:val="0"/>
                <w:color w:val="000000" w:themeColor="text1"/>
                <w:sz w:val="24"/>
                <w:szCs w:val="24"/>
              </w:rPr>
            </w:pPr>
            <w:bookmarkStart w:id="79" w:name="_heading=h.6upk2294u0ay" w:colFirst="0" w:colLast="0"/>
            <w:bookmarkEnd w:id="79"/>
            <w:r w:rsidRPr="00CD12F0">
              <w:rPr>
                <w:b w:val="0"/>
                <w:color w:val="000000" w:themeColor="text1"/>
                <w:sz w:val="24"/>
                <w:szCs w:val="24"/>
              </w:rPr>
              <w:t>Government Major Projects Portfolio</w:t>
            </w:r>
          </w:p>
        </w:tc>
      </w:tr>
      <w:tr w:rsidR="001A2363" w:rsidTr="00214116">
        <w:tc>
          <w:tcPr>
            <w:tcW w:w="3375" w:type="dxa"/>
          </w:tcPr>
          <w:p w:rsidR="001A2363" w:rsidRPr="00CD12F0" w:rsidRDefault="001A2363" w:rsidP="00214116">
            <w:pPr>
              <w:pStyle w:val="Heading2"/>
              <w:spacing w:after="120"/>
              <w:rPr>
                <w:b w:val="0"/>
                <w:color w:val="000000" w:themeColor="text1"/>
                <w:sz w:val="24"/>
                <w:szCs w:val="24"/>
              </w:rPr>
            </w:pPr>
            <w:bookmarkStart w:id="80" w:name="_heading=h.sk4v35jbf1fs" w:colFirst="0" w:colLast="0"/>
            <w:bookmarkEnd w:id="80"/>
            <w:r w:rsidRPr="00CD12F0">
              <w:rPr>
                <w:b w:val="0"/>
                <w:color w:val="000000" w:themeColor="text1"/>
                <w:sz w:val="24"/>
                <w:szCs w:val="24"/>
              </w:rPr>
              <w:t>IPA</w:t>
            </w:r>
          </w:p>
        </w:tc>
        <w:tc>
          <w:tcPr>
            <w:tcW w:w="4920" w:type="dxa"/>
          </w:tcPr>
          <w:p w:rsidR="001A2363" w:rsidRPr="00CD12F0" w:rsidRDefault="001A2363" w:rsidP="00214116">
            <w:pPr>
              <w:pStyle w:val="Heading2"/>
              <w:spacing w:after="120"/>
              <w:rPr>
                <w:b w:val="0"/>
                <w:color w:val="000000" w:themeColor="text1"/>
                <w:sz w:val="24"/>
                <w:szCs w:val="24"/>
              </w:rPr>
            </w:pPr>
            <w:bookmarkStart w:id="81" w:name="_heading=h.xfsadc8wtx6n" w:colFirst="0" w:colLast="0"/>
            <w:bookmarkEnd w:id="81"/>
            <w:r w:rsidRPr="00CD12F0">
              <w:rPr>
                <w:b w:val="0"/>
                <w:color w:val="000000" w:themeColor="text1"/>
                <w:sz w:val="24"/>
                <w:szCs w:val="24"/>
              </w:rPr>
              <w:t>Infrastructure and Projects Authority</w:t>
            </w:r>
          </w:p>
        </w:tc>
      </w:tr>
    </w:tbl>
    <w:p w:rsidR="001A2363" w:rsidRDefault="001A2363" w:rsidP="002D184F">
      <w:pPr>
        <w:pStyle w:val="Heading1"/>
        <w:keepLines w:val="0"/>
        <w:numPr>
          <w:ilvl w:val="0"/>
          <w:numId w:val="11"/>
        </w:numPr>
        <w:adjustRightInd w:val="0"/>
        <w:spacing w:before="240" w:after="120" w:line="240" w:lineRule="auto"/>
        <w:jc w:val="both"/>
        <w:rPr>
          <w:sz w:val="32"/>
          <w:szCs w:val="32"/>
        </w:rPr>
      </w:pPr>
      <w:bookmarkStart w:id="82" w:name="_heading=h.2s8eyo1" w:colFirst="0" w:colLast="0"/>
      <w:bookmarkEnd w:id="82"/>
      <w:r>
        <w:rPr>
          <w:sz w:val="32"/>
          <w:szCs w:val="32"/>
        </w:rPr>
        <w:t xml:space="preserve">scope of requirement </w:t>
      </w:r>
    </w:p>
    <w:p w:rsidR="001A2363" w:rsidRDefault="001A2363" w:rsidP="002D184F">
      <w:pPr>
        <w:numPr>
          <w:ilvl w:val="1"/>
          <w:numId w:val="11"/>
        </w:numPr>
        <w:spacing w:before="60" w:after="60"/>
        <w:rPr>
          <w:sz w:val="28"/>
          <w:szCs w:val="28"/>
        </w:rPr>
      </w:pPr>
      <w:r>
        <w:rPr>
          <w:sz w:val="24"/>
        </w:rPr>
        <w:t xml:space="preserve">The ETF wishes to commission an external partner to: </w:t>
      </w:r>
    </w:p>
    <w:p w:rsidR="001A2363" w:rsidRDefault="001A2363" w:rsidP="002D184F">
      <w:pPr>
        <w:numPr>
          <w:ilvl w:val="0"/>
          <w:numId w:val="9"/>
        </w:numPr>
        <w:spacing w:before="60" w:after="0"/>
        <w:rPr>
          <w:sz w:val="24"/>
        </w:rPr>
      </w:pPr>
      <w:r>
        <w:rPr>
          <w:sz w:val="24"/>
        </w:rPr>
        <w:t xml:space="preserve">assess the scale and quality of current evaluation plans; </w:t>
      </w:r>
    </w:p>
    <w:p w:rsidR="001A2363" w:rsidRDefault="001A2363" w:rsidP="002D184F">
      <w:pPr>
        <w:numPr>
          <w:ilvl w:val="0"/>
          <w:numId w:val="9"/>
        </w:numPr>
        <w:spacing w:after="0"/>
        <w:rPr>
          <w:sz w:val="24"/>
        </w:rPr>
      </w:pPr>
      <w:r>
        <w:rPr>
          <w:sz w:val="24"/>
        </w:rPr>
        <w:t xml:space="preserve">identify strengths and improvements for each project; and </w:t>
      </w:r>
    </w:p>
    <w:p w:rsidR="001A2363" w:rsidRDefault="001A2363" w:rsidP="002D184F">
      <w:pPr>
        <w:numPr>
          <w:ilvl w:val="0"/>
          <w:numId w:val="9"/>
        </w:numPr>
        <w:spacing w:after="60"/>
        <w:rPr>
          <w:sz w:val="24"/>
        </w:rPr>
      </w:pPr>
      <w:r>
        <w:rPr>
          <w:sz w:val="24"/>
        </w:rPr>
        <w:t xml:space="preserve">develop guidance on best practice and tools to help major project teams raise evaluation standards across the GMPP. </w:t>
      </w:r>
    </w:p>
    <w:p w:rsidR="001A2363" w:rsidRDefault="001A2363" w:rsidP="001A2363">
      <w:pPr>
        <w:spacing w:before="60" w:after="60"/>
        <w:rPr>
          <w:sz w:val="24"/>
        </w:rPr>
      </w:pPr>
      <w:r>
        <w:rPr>
          <w:sz w:val="24"/>
        </w:rPr>
        <w:tab/>
        <w:t>More details are specified in 6.1.</w:t>
      </w:r>
    </w:p>
    <w:p w:rsidR="001A2363" w:rsidRPr="00CD12F0" w:rsidRDefault="001A2363" w:rsidP="002D184F">
      <w:pPr>
        <w:numPr>
          <w:ilvl w:val="1"/>
          <w:numId w:val="11"/>
        </w:numPr>
        <w:spacing w:before="60" w:after="60"/>
        <w:rPr>
          <w:sz w:val="26"/>
          <w:szCs w:val="26"/>
        </w:rPr>
      </w:pPr>
      <w:r>
        <w:rPr>
          <w:sz w:val="24"/>
        </w:rPr>
        <w:t>This work is part of the ETF’s wider programme which aims to ensure there is robust and proportionate evaluation in place across all government programmes to inform spending decisions.</w:t>
      </w:r>
    </w:p>
    <w:p w:rsidR="001A2363" w:rsidRDefault="001A2363" w:rsidP="002D184F">
      <w:pPr>
        <w:pStyle w:val="Heading1"/>
        <w:keepLines w:val="0"/>
        <w:numPr>
          <w:ilvl w:val="0"/>
          <w:numId w:val="11"/>
        </w:numPr>
        <w:adjustRightInd w:val="0"/>
        <w:spacing w:before="0" w:after="120" w:line="240" w:lineRule="auto"/>
        <w:jc w:val="both"/>
        <w:rPr>
          <w:sz w:val="32"/>
          <w:szCs w:val="32"/>
        </w:rPr>
      </w:pPr>
      <w:bookmarkStart w:id="83" w:name="_heading=h.17dp8vu" w:colFirst="0" w:colLast="0"/>
      <w:bookmarkEnd w:id="83"/>
      <w:r>
        <w:rPr>
          <w:sz w:val="32"/>
          <w:szCs w:val="32"/>
        </w:rPr>
        <w:t>The requirement</w:t>
      </w:r>
    </w:p>
    <w:p w:rsidR="001A2363" w:rsidRDefault="001A2363" w:rsidP="002D184F">
      <w:pPr>
        <w:pStyle w:val="Heading2"/>
        <w:keepNext w:val="0"/>
        <w:keepLines w:val="0"/>
        <w:numPr>
          <w:ilvl w:val="1"/>
          <w:numId w:val="11"/>
        </w:numPr>
        <w:adjustRightInd w:val="0"/>
        <w:spacing w:before="0" w:after="240" w:line="240" w:lineRule="auto"/>
        <w:jc w:val="both"/>
      </w:pPr>
      <w:bookmarkStart w:id="84" w:name="_heading=h.dr5oidd9gfj7" w:colFirst="0" w:colLast="0"/>
      <w:bookmarkEnd w:id="84"/>
      <w:r>
        <w:rPr>
          <w:i/>
          <w:color w:val="1F497D"/>
          <w:sz w:val="24"/>
          <w:szCs w:val="24"/>
        </w:rPr>
        <w:t>Research objectives</w:t>
      </w:r>
    </w:p>
    <w:p w:rsidR="001A2363" w:rsidRDefault="001A2363" w:rsidP="001A2363">
      <w:pPr>
        <w:pStyle w:val="Heading2"/>
        <w:ind w:left="720"/>
        <w:rPr>
          <w:sz w:val="24"/>
          <w:szCs w:val="24"/>
        </w:rPr>
      </w:pPr>
      <w:bookmarkStart w:id="85" w:name="_heading=h.bmi18kz9ec7u" w:colFirst="0" w:colLast="0"/>
      <w:bookmarkEnd w:id="85"/>
      <w:r>
        <w:rPr>
          <w:sz w:val="24"/>
          <w:szCs w:val="24"/>
        </w:rPr>
        <w:t>As highlighted in section 4 above, the ETF wishes to commission an external partner to review the evaluation arrangements in place across the GMPP. This will involve:</w:t>
      </w:r>
    </w:p>
    <w:p w:rsidR="001A2363" w:rsidRDefault="001A2363" w:rsidP="001A2363">
      <w:pPr>
        <w:spacing w:before="60" w:after="60"/>
        <w:ind w:left="720"/>
        <w:rPr>
          <w:sz w:val="24"/>
        </w:rPr>
      </w:pPr>
      <w:r>
        <w:rPr>
          <w:b/>
          <w:sz w:val="24"/>
        </w:rPr>
        <w:t>Assessing the scale and quality of current evaluation plans:</w:t>
      </w:r>
      <w:r>
        <w:rPr>
          <w:sz w:val="24"/>
        </w:rPr>
        <w:t xml:space="preserve"> The review should establish the quality and quantity of evaluation plans in place across the GMPP. This should be achieved by reviewing information and documents collected from major project teams by the ETF, and by gathering supplementary evidence through interviews with a sample of these teams. The successful bidder will need to develop a system for assessing the robustness of evaluation plans, which may be based on existing frameworks such as the Maryland Scientific Methods Scale, Nesta’s standards of evidence, and the criteria from the 2019 PMIU review outlined at Annex A. </w:t>
      </w:r>
    </w:p>
    <w:p w:rsidR="001A2363" w:rsidRDefault="001A2363" w:rsidP="001A2363">
      <w:pPr>
        <w:spacing w:before="60" w:after="60"/>
        <w:ind w:left="720"/>
        <w:rPr>
          <w:sz w:val="24"/>
        </w:rPr>
      </w:pPr>
      <w:r>
        <w:rPr>
          <w:b/>
          <w:sz w:val="24"/>
        </w:rPr>
        <w:lastRenderedPageBreak/>
        <w:t xml:space="preserve">Identifying strengths and improvements for each project: </w:t>
      </w:r>
      <w:r>
        <w:rPr>
          <w:sz w:val="24"/>
        </w:rPr>
        <w:t xml:space="preserve">It is critical that the review is not only an exercise in scrutinising the current state of evaluation across the GMPP, but also generates proactive and pragmatic recommendations to improve this. The successful bidder will be expected to delve into the evaluation arrangements in place for specific major projects, highlighting examples of best practice as well as opportunities for improvement. </w:t>
      </w:r>
    </w:p>
    <w:p w:rsidR="001A2363" w:rsidRDefault="001A2363" w:rsidP="001A2363">
      <w:pPr>
        <w:spacing w:before="60" w:after="60"/>
        <w:ind w:left="720"/>
        <w:rPr>
          <w:sz w:val="24"/>
        </w:rPr>
      </w:pPr>
      <w:r>
        <w:rPr>
          <w:b/>
          <w:sz w:val="24"/>
        </w:rPr>
        <w:t xml:space="preserve">Developing guidance and tools: </w:t>
      </w:r>
      <w:r>
        <w:rPr>
          <w:sz w:val="24"/>
        </w:rPr>
        <w:t>Insights from the review, such as where opportunities for improvement are identified, should be backed up by practical guidance and tools. These should be designed to help major project teams understand what type of evaluation is feasible and proportionate for their project and the steps needed to deliver this.</w:t>
      </w:r>
    </w:p>
    <w:p w:rsidR="001A2363" w:rsidRDefault="001A2363" w:rsidP="001A2363">
      <w:pPr>
        <w:ind w:left="720"/>
        <w:rPr>
          <w:sz w:val="24"/>
        </w:rPr>
      </w:pPr>
    </w:p>
    <w:p w:rsidR="001A2363" w:rsidRDefault="001A2363" w:rsidP="001A2363">
      <w:pPr>
        <w:ind w:left="720"/>
        <w:rPr>
          <w:b/>
          <w:sz w:val="24"/>
        </w:rPr>
      </w:pPr>
      <w:r>
        <w:rPr>
          <w:b/>
          <w:sz w:val="24"/>
        </w:rPr>
        <w:t>What information do we already have?</w:t>
      </w:r>
    </w:p>
    <w:p w:rsidR="001A2363" w:rsidRDefault="001A2363" w:rsidP="001A2363">
      <w:pPr>
        <w:ind w:left="720"/>
      </w:pPr>
      <w:r>
        <w:rPr>
          <w:sz w:val="24"/>
        </w:rPr>
        <w:t>In December 2022, the ETF coordinated a request for information on the evaluation arrangements in place for GMPP projects included in the IPA’s Q2 quarterly data. Questions on benefits data were also included by the IPA. These returns will be made available to the successful contractor upon contract-award. A summary of the information requested is available in Annex B.</w:t>
      </w:r>
    </w:p>
    <w:p w:rsidR="001A2363" w:rsidRDefault="001A2363" w:rsidP="001A2363"/>
    <w:p w:rsidR="001A2363" w:rsidRDefault="001A2363" w:rsidP="002D184F">
      <w:pPr>
        <w:pStyle w:val="Heading2"/>
        <w:keepNext w:val="0"/>
        <w:keepLines w:val="0"/>
        <w:numPr>
          <w:ilvl w:val="1"/>
          <w:numId w:val="11"/>
        </w:numPr>
        <w:adjustRightInd w:val="0"/>
        <w:spacing w:before="0" w:after="240" w:line="240" w:lineRule="auto"/>
        <w:jc w:val="both"/>
        <w:rPr>
          <w:sz w:val="24"/>
          <w:szCs w:val="24"/>
        </w:rPr>
      </w:pPr>
      <w:bookmarkStart w:id="86" w:name="_heading=h.s2csz3vjxwnu" w:colFirst="0" w:colLast="0"/>
      <w:bookmarkEnd w:id="86"/>
      <w:r>
        <w:rPr>
          <w:i/>
          <w:color w:val="1F497D"/>
          <w:sz w:val="24"/>
          <w:szCs w:val="24"/>
        </w:rPr>
        <w:t>Suggested approach and analysis</w:t>
      </w:r>
    </w:p>
    <w:p w:rsidR="001A2363" w:rsidRDefault="001A2363" w:rsidP="001A2363">
      <w:pPr>
        <w:rPr>
          <w:sz w:val="24"/>
        </w:rPr>
      </w:pPr>
      <w:r>
        <w:rPr>
          <w:sz w:val="24"/>
        </w:rPr>
        <w:t>We would like a supplier to complete the following analysis but welcome suggestions from bidders on the best approach to meet the project requirements:</w:t>
      </w:r>
    </w:p>
    <w:p w:rsidR="001A2363" w:rsidRDefault="001A2363" w:rsidP="002D184F">
      <w:pPr>
        <w:numPr>
          <w:ilvl w:val="0"/>
          <w:numId w:val="6"/>
        </w:numPr>
        <w:spacing w:after="0" w:line="240" w:lineRule="auto"/>
        <w:rPr>
          <w:sz w:val="24"/>
        </w:rPr>
      </w:pPr>
      <w:r>
        <w:rPr>
          <w:sz w:val="24"/>
        </w:rPr>
        <w:t>Analyse returns submitted from each project on their evaluation plans and benefits data.</w:t>
      </w:r>
    </w:p>
    <w:p w:rsidR="001A2363" w:rsidRDefault="001A2363" w:rsidP="002D184F">
      <w:pPr>
        <w:numPr>
          <w:ilvl w:val="0"/>
          <w:numId w:val="6"/>
        </w:numPr>
        <w:spacing w:after="0" w:line="240" w:lineRule="auto"/>
        <w:rPr>
          <w:sz w:val="24"/>
        </w:rPr>
      </w:pPr>
      <w:r>
        <w:rPr>
          <w:sz w:val="24"/>
        </w:rPr>
        <w:t>Review supporting evaluation plan documents for each project where these have been provided.</w:t>
      </w:r>
    </w:p>
    <w:p w:rsidR="001A2363" w:rsidRDefault="001A2363" w:rsidP="002D184F">
      <w:pPr>
        <w:numPr>
          <w:ilvl w:val="0"/>
          <w:numId w:val="6"/>
        </w:numPr>
        <w:spacing w:after="0" w:line="240" w:lineRule="auto"/>
        <w:rPr>
          <w:sz w:val="24"/>
        </w:rPr>
      </w:pPr>
      <w:r>
        <w:rPr>
          <w:sz w:val="24"/>
        </w:rPr>
        <w:t>Capture summary findings for each project on the strengths and limitations of their evaluation approach.</w:t>
      </w:r>
    </w:p>
    <w:p w:rsidR="001A2363" w:rsidRDefault="001A2363" w:rsidP="002D184F">
      <w:pPr>
        <w:numPr>
          <w:ilvl w:val="0"/>
          <w:numId w:val="6"/>
        </w:numPr>
        <w:spacing w:after="0" w:line="240" w:lineRule="auto"/>
        <w:rPr>
          <w:sz w:val="24"/>
        </w:rPr>
      </w:pPr>
      <w:r>
        <w:rPr>
          <w:sz w:val="24"/>
        </w:rPr>
        <w:t>Conduct a thematic analysis of evaluation approaches by project characteristics (including using IPA GMPP data).</w:t>
      </w:r>
    </w:p>
    <w:p w:rsidR="001A2363" w:rsidRDefault="001A2363" w:rsidP="002D184F">
      <w:pPr>
        <w:numPr>
          <w:ilvl w:val="0"/>
          <w:numId w:val="6"/>
        </w:numPr>
        <w:spacing w:after="0" w:line="240" w:lineRule="auto"/>
        <w:rPr>
          <w:sz w:val="24"/>
        </w:rPr>
      </w:pPr>
      <w:r>
        <w:rPr>
          <w:sz w:val="24"/>
        </w:rPr>
        <w:t xml:space="preserve">Conduct interviews with a sample of projects to supplement the information collected by the ETF and inform the thematic analysis. This will involve project managers and analysts/evaluators working on selected major projects. These should generate learning from best practice examples and understanding of the barriers to robust evaluation for different types of projects. We anticipate that roughly 30-50 interviews may be required (assuming a sample of approximately ten projects from each of the IPA’s four project categories: government transformation and service delivery, information and communication technology, military capability, and </w:t>
      </w:r>
      <w:r>
        <w:rPr>
          <w:sz w:val="24"/>
        </w:rPr>
        <w:lastRenderedPageBreak/>
        <w:t>infrastructure and construction), though we would welcome proposals from suppliers on alternative sampling approaches.</w:t>
      </w:r>
    </w:p>
    <w:p w:rsidR="001A2363" w:rsidRDefault="001A2363" w:rsidP="002D184F">
      <w:pPr>
        <w:numPr>
          <w:ilvl w:val="0"/>
          <w:numId w:val="6"/>
        </w:numPr>
        <w:spacing w:after="0" w:line="240" w:lineRule="auto"/>
        <w:rPr>
          <w:sz w:val="24"/>
        </w:rPr>
      </w:pPr>
      <w:r>
        <w:rPr>
          <w:sz w:val="24"/>
        </w:rPr>
        <w:t>Develop guidance on what good evaluation looks like for different types of projects and tools to help major project teams improve their evaluation plans.</w:t>
      </w:r>
    </w:p>
    <w:p w:rsidR="001A2363" w:rsidRDefault="001A2363" w:rsidP="002D184F">
      <w:pPr>
        <w:numPr>
          <w:ilvl w:val="0"/>
          <w:numId w:val="6"/>
        </w:numPr>
        <w:spacing w:after="0" w:line="240" w:lineRule="auto"/>
        <w:rPr>
          <w:sz w:val="24"/>
        </w:rPr>
      </w:pPr>
      <w:r>
        <w:rPr>
          <w:sz w:val="24"/>
        </w:rPr>
        <w:t>Produce a report summarising the quality and quantum of evaluation across the GMPP and recommendations for improving this.</w:t>
      </w:r>
    </w:p>
    <w:p w:rsidR="001A2363" w:rsidRDefault="001A2363" w:rsidP="001A2363">
      <w:pPr>
        <w:ind w:left="720"/>
        <w:rPr>
          <w:sz w:val="24"/>
        </w:rPr>
      </w:pPr>
    </w:p>
    <w:p w:rsidR="001A2363" w:rsidRDefault="001A2363" w:rsidP="001A2363">
      <w:pPr>
        <w:rPr>
          <w:sz w:val="24"/>
        </w:rPr>
      </w:pPr>
      <w:r>
        <w:rPr>
          <w:sz w:val="24"/>
        </w:rPr>
        <w:t>Further details on the requirements for reviewing evaluation plans are below.</w:t>
      </w:r>
    </w:p>
    <w:p w:rsidR="001A2363" w:rsidRDefault="001A2363" w:rsidP="001A2363">
      <w:pPr>
        <w:rPr>
          <w:sz w:val="24"/>
        </w:rPr>
      </w:pPr>
    </w:p>
    <w:p w:rsidR="001A2363" w:rsidRDefault="001A2363" w:rsidP="001A2363">
      <w:pPr>
        <w:rPr>
          <w:b/>
          <w:sz w:val="24"/>
        </w:rPr>
      </w:pPr>
      <w:r>
        <w:rPr>
          <w:b/>
          <w:sz w:val="24"/>
        </w:rPr>
        <w:t>Reviewing evaluation plans</w:t>
      </w:r>
    </w:p>
    <w:p w:rsidR="001A2363" w:rsidRDefault="001A2363" w:rsidP="001A2363">
      <w:pPr>
        <w:rPr>
          <w:sz w:val="24"/>
        </w:rPr>
      </w:pPr>
    </w:p>
    <w:p w:rsidR="001A2363" w:rsidRDefault="001A2363" w:rsidP="001A2363">
      <w:pPr>
        <w:rPr>
          <w:sz w:val="24"/>
        </w:rPr>
      </w:pPr>
      <w:r>
        <w:rPr>
          <w:sz w:val="24"/>
        </w:rPr>
        <w:t>We anticipate analysis of evaluation plans will include a number of perspectives as follows, but welcome suggestions on the best approach. Details of the data that has been requested from projects to inform this analysis is in Annex B.</w:t>
      </w:r>
    </w:p>
    <w:p w:rsidR="001A2363" w:rsidRDefault="001A2363" w:rsidP="001A2363">
      <w:pPr>
        <w:rPr>
          <w:sz w:val="24"/>
        </w:rPr>
      </w:pPr>
    </w:p>
    <w:p w:rsidR="001A2363" w:rsidRDefault="001A2363" w:rsidP="002D184F">
      <w:pPr>
        <w:numPr>
          <w:ilvl w:val="0"/>
          <w:numId w:val="4"/>
        </w:numPr>
        <w:spacing w:after="0" w:line="240" w:lineRule="auto"/>
        <w:rPr>
          <w:sz w:val="24"/>
        </w:rPr>
      </w:pPr>
      <w:r>
        <w:rPr>
          <w:sz w:val="24"/>
        </w:rPr>
        <w:t>Across the GMPP:</w:t>
      </w:r>
    </w:p>
    <w:p w:rsidR="001A2363" w:rsidRDefault="001A2363" w:rsidP="002D184F">
      <w:pPr>
        <w:numPr>
          <w:ilvl w:val="1"/>
          <w:numId w:val="4"/>
        </w:numPr>
        <w:spacing w:after="0" w:line="240" w:lineRule="auto"/>
        <w:rPr>
          <w:sz w:val="24"/>
        </w:rPr>
      </w:pPr>
      <w:r>
        <w:rPr>
          <w:sz w:val="24"/>
        </w:rPr>
        <w:t>The scale and quality of evaluation in place</w:t>
      </w:r>
    </w:p>
    <w:p w:rsidR="001A2363" w:rsidRDefault="001A2363" w:rsidP="002D184F">
      <w:pPr>
        <w:numPr>
          <w:ilvl w:val="1"/>
          <w:numId w:val="4"/>
        </w:numPr>
        <w:spacing w:after="0" w:line="240" w:lineRule="auto"/>
        <w:rPr>
          <w:sz w:val="24"/>
        </w:rPr>
      </w:pPr>
      <w:r>
        <w:rPr>
          <w:sz w:val="24"/>
        </w:rPr>
        <w:t xml:space="preserve">Any relationship between the nature of projects and the existence or quality of evaluation plans, for example in relation to the type of major project, the total </w:t>
      </w:r>
      <w:proofErr w:type="gramStart"/>
      <w:r>
        <w:rPr>
          <w:sz w:val="24"/>
        </w:rPr>
        <w:t>spend</w:t>
      </w:r>
      <w:proofErr w:type="gramEnd"/>
      <w:r>
        <w:rPr>
          <w:sz w:val="24"/>
        </w:rPr>
        <w:t xml:space="preserve"> on the major project, the lead department, or other project characteristics.</w:t>
      </w:r>
    </w:p>
    <w:p w:rsidR="001A2363" w:rsidRDefault="001A2363" w:rsidP="002D184F">
      <w:pPr>
        <w:numPr>
          <w:ilvl w:val="0"/>
          <w:numId w:val="4"/>
        </w:numPr>
        <w:spacing w:after="0" w:line="240" w:lineRule="auto"/>
        <w:rPr>
          <w:sz w:val="24"/>
        </w:rPr>
      </w:pPr>
      <w:r>
        <w:rPr>
          <w:sz w:val="24"/>
        </w:rPr>
        <w:t>For each major project:</w:t>
      </w:r>
    </w:p>
    <w:p w:rsidR="001A2363" w:rsidRDefault="001A2363" w:rsidP="002D184F">
      <w:pPr>
        <w:numPr>
          <w:ilvl w:val="1"/>
          <w:numId w:val="4"/>
        </w:numPr>
        <w:spacing w:after="0" w:line="240" w:lineRule="auto"/>
        <w:rPr>
          <w:sz w:val="24"/>
        </w:rPr>
      </w:pPr>
      <w:r>
        <w:rPr>
          <w:sz w:val="24"/>
        </w:rPr>
        <w:t>Whether an evaluation plan is in place (note that based on the 2019 review findings, we anticipate a significant number of projects may not have evaluation plans in place).</w:t>
      </w:r>
    </w:p>
    <w:p w:rsidR="001A2363" w:rsidRDefault="001A2363" w:rsidP="002D184F">
      <w:pPr>
        <w:numPr>
          <w:ilvl w:val="1"/>
          <w:numId w:val="4"/>
        </w:numPr>
        <w:spacing w:after="0" w:line="240" w:lineRule="auto"/>
        <w:rPr>
          <w:sz w:val="24"/>
        </w:rPr>
      </w:pPr>
      <w:r>
        <w:rPr>
          <w:sz w:val="24"/>
        </w:rPr>
        <w:t>If so, an assessment of the quality of the plan including key strengths/areas for improvement.</w:t>
      </w:r>
    </w:p>
    <w:p w:rsidR="001A2363" w:rsidRDefault="001A2363" w:rsidP="001A2363">
      <w:pPr>
        <w:rPr>
          <w:sz w:val="24"/>
        </w:rPr>
      </w:pPr>
    </w:p>
    <w:p w:rsidR="001A2363" w:rsidRDefault="001A2363" w:rsidP="002D184F">
      <w:pPr>
        <w:numPr>
          <w:ilvl w:val="0"/>
          <w:numId w:val="4"/>
        </w:numPr>
        <w:spacing w:after="0" w:line="240" w:lineRule="auto"/>
        <w:rPr>
          <w:sz w:val="24"/>
        </w:rPr>
      </w:pPr>
      <w:r>
        <w:rPr>
          <w:sz w:val="24"/>
        </w:rPr>
        <w:t>For major projects with evaluation plans in place:</w:t>
      </w:r>
    </w:p>
    <w:p w:rsidR="001A2363" w:rsidRDefault="001A2363" w:rsidP="002D184F">
      <w:pPr>
        <w:numPr>
          <w:ilvl w:val="1"/>
          <w:numId w:val="4"/>
        </w:numPr>
        <w:spacing w:after="0" w:line="240" w:lineRule="auto"/>
        <w:rPr>
          <w:sz w:val="24"/>
        </w:rPr>
      </w:pPr>
      <w:r>
        <w:rPr>
          <w:sz w:val="24"/>
        </w:rPr>
        <w:t>Stage of evaluation delivery</w:t>
      </w:r>
    </w:p>
    <w:p w:rsidR="001A2363" w:rsidRDefault="001A2363" w:rsidP="002D184F">
      <w:pPr>
        <w:numPr>
          <w:ilvl w:val="1"/>
          <w:numId w:val="4"/>
        </w:numPr>
        <w:spacing w:after="0" w:line="240" w:lineRule="auto"/>
        <w:rPr>
          <w:sz w:val="24"/>
        </w:rPr>
      </w:pPr>
      <w:r>
        <w:rPr>
          <w:sz w:val="24"/>
        </w:rPr>
        <w:t>Whether there is an adequate Theory of Change</w:t>
      </w:r>
    </w:p>
    <w:p w:rsidR="001A2363" w:rsidRDefault="001A2363" w:rsidP="002D184F">
      <w:pPr>
        <w:numPr>
          <w:ilvl w:val="1"/>
          <w:numId w:val="4"/>
        </w:numPr>
        <w:spacing w:after="0" w:line="240" w:lineRule="auto"/>
        <w:rPr>
          <w:sz w:val="24"/>
        </w:rPr>
      </w:pPr>
      <w:r>
        <w:rPr>
          <w:sz w:val="24"/>
        </w:rPr>
        <w:t>Whether there is a process, impact and/or economic evaluation planned/in delivery</w:t>
      </w:r>
    </w:p>
    <w:p w:rsidR="001A2363" w:rsidRDefault="001A2363" w:rsidP="002D184F">
      <w:pPr>
        <w:numPr>
          <w:ilvl w:val="1"/>
          <w:numId w:val="4"/>
        </w:numPr>
        <w:spacing w:after="0" w:line="240" w:lineRule="auto"/>
        <w:rPr>
          <w:sz w:val="24"/>
        </w:rPr>
      </w:pPr>
      <w:r>
        <w:rPr>
          <w:sz w:val="24"/>
        </w:rPr>
        <w:t>Impact evaluation methods including whether there is a counterfactual and the quality of this</w:t>
      </w:r>
    </w:p>
    <w:p w:rsidR="001A2363" w:rsidRDefault="001A2363" w:rsidP="002D184F">
      <w:pPr>
        <w:numPr>
          <w:ilvl w:val="1"/>
          <w:numId w:val="4"/>
        </w:numPr>
        <w:spacing w:after="0" w:line="240" w:lineRule="auto"/>
        <w:rPr>
          <w:sz w:val="24"/>
        </w:rPr>
      </w:pPr>
      <w:r>
        <w:rPr>
          <w:sz w:val="24"/>
        </w:rPr>
        <w:t>Evaluation resources including budget and FTE</w:t>
      </w:r>
    </w:p>
    <w:p w:rsidR="001A2363" w:rsidRDefault="001A2363" w:rsidP="002D184F">
      <w:pPr>
        <w:numPr>
          <w:ilvl w:val="1"/>
          <w:numId w:val="4"/>
        </w:numPr>
        <w:spacing w:after="0" w:line="240" w:lineRule="auto"/>
        <w:rPr>
          <w:sz w:val="24"/>
        </w:rPr>
      </w:pPr>
      <w:r>
        <w:rPr>
          <w:sz w:val="24"/>
        </w:rPr>
        <w:t>The status of benefits data and any trends between the status of benefits data and evaluation plans.</w:t>
      </w:r>
    </w:p>
    <w:p w:rsidR="001A2363" w:rsidRDefault="001A2363" w:rsidP="001A2363">
      <w:pPr>
        <w:pStyle w:val="Heading2"/>
        <w:spacing w:after="120"/>
        <w:rPr>
          <w:sz w:val="24"/>
          <w:szCs w:val="24"/>
          <w:highlight w:val="yellow"/>
        </w:rPr>
      </w:pPr>
    </w:p>
    <w:p w:rsidR="001A2363" w:rsidRDefault="001A2363" w:rsidP="002D184F">
      <w:pPr>
        <w:pStyle w:val="Heading2"/>
        <w:keepNext w:val="0"/>
        <w:keepLines w:val="0"/>
        <w:numPr>
          <w:ilvl w:val="1"/>
          <w:numId w:val="11"/>
        </w:numPr>
        <w:adjustRightInd w:val="0"/>
        <w:spacing w:before="0" w:after="240" w:line="240" w:lineRule="auto"/>
        <w:jc w:val="both"/>
        <w:rPr>
          <w:sz w:val="24"/>
          <w:szCs w:val="24"/>
        </w:rPr>
      </w:pPr>
      <w:bookmarkStart w:id="87" w:name="_heading=h.li93nxq8m16f" w:colFirst="0" w:colLast="0"/>
      <w:bookmarkEnd w:id="87"/>
      <w:r>
        <w:rPr>
          <w:i/>
          <w:color w:val="1F497D"/>
          <w:sz w:val="24"/>
          <w:szCs w:val="24"/>
        </w:rPr>
        <w:t>Outputs</w:t>
      </w:r>
    </w:p>
    <w:p w:rsidR="001A2363" w:rsidRDefault="001A2363" w:rsidP="001A2363">
      <w:pPr>
        <w:rPr>
          <w:sz w:val="24"/>
        </w:rPr>
      </w:pPr>
      <w:r>
        <w:rPr>
          <w:sz w:val="24"/>
        </w:rPr>
        <w:t>The project will deliver the following outputs and outcomes.</w:t>
      </w:r>
    </w:p>
    <w:p w:rsidR="001A2363" w:rsidRDefault="001A2363" w:rsidP="001A2363">
      <w:pPr>
        <w:rPr>
          <w:sz w:val="24"/>
        </w:rPr>
      </w:pPr>
    </w:p>
    <w:p w:rsidR="001A2363" w:rsidRDefault="001A2363" w:rsidP="001A2363">
      <w:pPr>
        <w:rPr>
          <w:sz w:val="24"/>
        </w:rPr>
      </w:pPr>
      <w:r>
        <w:rPr>
          <w:sz w:val="24"/>
        </w:rPr>
        <w:t>Project outputs:</w:t>
      </w:r>
    </w:p>
    <w:p w:rsidR="001A2363" w:rsidRDefault="001A2363" w:rsidP="002D184F">
      <w:pPr>
        <w:numPr>
          <w:ilvl w:val="0"/>
          <w:numId w:val="10"/>
        </w:numPr>
        <w:spacing w:after="0" w:line="240" w:lineRule="auto"/>
        <w:rPr>
          <w:sz w:val="24"/>
        </w:rPr>
      </w:pPr>
      <w:r>
        <w:rPr>
          <w:sz w:val="24"/>
        </w:rPr>
        <w:t>Final report summarising findings from the review, including figures on evaluation coverage and robustness across the GMPP.</w:t>
      </w:r>
    </w:p>
    <w:p w:rsidR="001A2363" w:rsidRDefault="001A2363" w:rsidP="002D184F">
      <w:pPr>
        <w:numPr>
          <w:ilvl w:val="0"/>
          <w:numId w:val="10"/>
        </w:numPr>
        <w:spacing w:after="0" w:line="240" w:lineRule="auto"/>
        <w:rPr>
          <w:sz w:val="24"/>
        </w:rPr>
      </w:pPr>
      <w:r>
        <w:rPr>
          <w:sz w:val="24"/>
        </w:rPr>
        <w:t>Project specific findings including recommendations for addressing any commonly occurring issues for each project.</w:t>
      </w:r>
    </w:p>
    <w:p w:rsidR="001A2363" w:rsidRDefault="001A2363" w:rsidP="002D184F">
      <w:pPr>
        <w:numPr>
          <w:ilvl w:val="0"/>
          <w:numId w:val="10"/>
        </w:numPr>
        <w:spacing w:after="0" w:line="240" w:lineRule="auto"/>
        <w:rPr>
          <w:sz w:val="24"/>
        </w:rPr>
      </w:pPr>
      <w:r>
        <w:rPr>
          <w:sz w:val="24"/>
        </w:rPr>
        <w:t>Guidance for improving evaluation of government major projects, including recommendations on how to design robust evaluations for large scale projects, designed and delivered in complex settings, often with no obvious/clear counterfactual and long term outcomes.</w:t>
      </w:r>
    </w:p>
    <w:p w:rsidR="001A2363" w:rsidRDefault="001A2363" w:rsidP="002D184F">
      <w:pPr>
        <w:numPr>
          <w:ilvl w:val="0"/>
          <w:numId w:val="10"/>
        </w:numPr>
        <w:spacing w:after="0" w:line="240" w:lineRule="auto"/>
        <w:rPr>
          <w:sz w:val="24"/>
        </w:rPr>
      </w:pPr>
      <w:r>
        <w:rPr>
          <w:sz w:val="24"/>
        </w:rPr>
        <w:t xml:space="preserve">Case studies highlighting examples of best practice in evaluating major projects. These should draw on the evaluation plans submitted and interviews with project teams, in order to show what good looks like in an applied context for different types of major project. </w:t>
      </w:r>
    </w:p>
    <w:p w:rsidR="001A2363" w:rsidRDefault="001A2363" w:rsidP="001A2363">
      <w:pPr>
        <w:rPr>
          <w:sz w:val="24"/>
        </w:rPr>
      </w:pPr>
    </w:p>
    <w:p w:rsidR="001A2363" w:rsidRDefault="001A2363" w:rsidP="001A2363">
      <w:pPr>
        <w:rPr>
          <w:sz w:val="24"/>
        </w:rPr>
      </w:pPr>
      <w:r>
        <w:rPr>
          <w:sz w:val="24"/>
        </w:rPr>
        <w:t>Project outcomes:</w:t>
      </w:r>
    </w:p>
    <w:p w:rsidR="001A2363" w:rsidRDefault="001A2363" w:rsidP="002D184F">
      <w:pPr>
        <w:numPr>
          <w:ilvl w:val="0"/>
          <w:numId w:val="7"/>
        </w:numPr>
        <w:spacing w:after="0" w:line="240" w:lineRule="auto"/>
        <w:rPr>
          <w:sz w:val="24"/>
        </w:rPr>
      </w:pPr>
      <w:r>
        <w:rPr>
          <w:sz w:val="24"/>
        </w:rPr>
        <w:t>A rich understanding of the extent and quality of the evaluation gap for major projects and how it can be resolved.</w:t>
      </w:r>
    </w:p>
    <w:p w:rsidR="001A2363" w:rsidRDefault="001A2363" w:rsidP="002D184F">
      <w:pPr>
        <w:numPr>
          <w:ilvl w:val="0"/>
          <w:numId w:val="7"/>
        </w:numPr>
        <w:spacing w:after="0" w:line="240" w:lineRule="auto"/>
        <w:rPr>
          <w:sz w:val="24"/>
        </w:rPr>
      </w:pPr>
      <w:r>
        <w:rPr>
          <w:sz w:val="24"/>
        </w:rPr>
        <w:t>Increased awareness of what good looks like for the evaluation of major projects and the availability of tools to help meet this standard.</w:t>
      </w:r>
    </w:p>
    <w:p w:rsidR="001A2363" w:rsidRDefault="001A2363" w:rsidP="001A2363">
      <w:pPr>
        <w:rPr>
          <w:sz w:val="24"/>
        </w:rPr>
      </w:pPr>
    </w:p>
    <w:p w:rsidR="001A2363" w:rsidRDefault="001A2363" w:rsidP="002D184F">
      <w:pPr>
        <w:pStyle w:val="Heading2"/>
        <w:keepNext w:val="0"/>
        <w:keepLines w:val="0"/>
        <w:numPr>
          <w:ilvl w:val="1"/>
          <w:numId w:val="11"/>
        </w:numPr>
        <w:adjustRightInd w:val="0"/>
        <w:spacing w:before="0" w:after="240" w:line="240" w:lineRule="auto"/>
        <w:jc w:val="both"/>
        <w:rPr>
          <w:sz w:val="24"/>
          <w:szCs w:val="24"/>
        </w:rPr>
      </w:pPr>
      <w:bookmarkStart w:id="88" w:name="_heading=h.5ehkfk9xolh0" w:colFirst="0" w:colLast="0"/>
      <w:bookmarkEnd w:id="88"/>
      <w:r>
        <w:rPr>
          <w:i/>
          <w:color w:val="1F497D"/>
          <w:sz w:val="24"/>
          <w:szCs w:val="24"/>
        </w:rPr>
        <w:t>Stakeholders</w:t>
      </w:r>
    </w:p>
    <w:p w:rsidR="001A2363" w:rsidRDefault="001A2363" w:rsidP="001A2363">
      <w:pPr>
        <w:rPr>
          <w:sz w:val="24"/>
        </w:rPr>
      </w:pPr>
      <w:r>
        <w:rPr>
          <w:sz w:val="24"/>
        </w:rPr>
        <w:t>The supplier will be required to discuss the review approach, findings and guidance with key stakeholders including representatives from the ETF, HM Treasury, the IPA, and the Cross Government Evaluation Group.</w:t>
      </w:r>
    </w:p>
    <w:p w:rsidR="001A2363" w:rsidRDefault="001A2363" w:rsidP="001A2363">
      <w:pPr>
        <w:rPr>
          <w:sz w:val="24"/>
        </w:rPr>
      </w:pPr>
    </w:p>
    <w:p w:rsidR="001A2363" w:rsidRDefault="001A2363" w:rsidP="001A2363">
      <w:pPr>
        <w:rPr>
          <w:sz w:val="24"/>
        </w:rPr>
      </w:pPr>
      <w:r>
        <w:rPr>
          <w:sz w:val="24"/>
        </w:rPr>
        <w:t>The ETF will share more widely with Permanent Secretaries, Directors of Analysis/Chief Analysts and the broader analyst community across government. There will also be interest in the review findings from the National Audit Office and Public Accounts Committee.</w:t>
      </w:r>
    </w:p>
    <w:p w:rsidR="001A2363" w:rsidRDefault="001A2363" w:rsidP="001A2363">
      <w:pPr>
        <w:rPr>
          <w:sz w:val="24"/>
        </w:rPr>
      </w:pPr>
    </w:p>
    <w:p w:rsidR="001A2363" w:rsidRDefault="001A2363" w:rsidP="001A2363">
      <w:pPr>
        <w:rPr>
          <w:i/>
          <w:color w:val="1F497D"/>
          <w:sz w:val="24"/>
        </w:rPr>
      </w:pPr>
      <w:r>
        <w:rPr>
          <w:sz w:val="24"/>
        </w:rPr>
        <w:lastRenderedPageBreak/>
        <w:t>We anticipate the toolkits and guidance developed will serve as a useful resource for those involved in developing and delivering major projects and similar projects across government.</w:t>
      </w:r>
    </w:p>
    <w:p w:rsidR="001A2363" w:rsidRDefault="001A2363" w:rsidP="001A2363">
      <w:pPr>
        <w:pStyle w:val="Heading2"/>
        <w:rPr>
          <w:i/>
          <w:color w:val="1F497D"/>
          <w:sz w:val="24"/>
          <w:szCs w:val="24"/>
        </w:rPr>
      </w:pPr>
    </w:p>
    <w:p w:rsidR="001A2363" w:rsidRDefault="001A2363" w:rsidP="002D184F">
      <w:pPr>
        <w:pStyle w:val="Heading2"/>
        <w:keepNext w:val="0"/>
        <w:keepLines w:val="0"/>
        <w:numPr>
          <w:ilvl w:val="1"/>
          <w:numId w:val="11"/>
        </w:numPr>
        <w:adjustRightInd w:val="0"/>
        <w:spacing w:before="0" w:after="240" w:line="240" w:lineRule="auto"/>
        <w:jc w:val="both"/>
        <w:rPr>
          <w:sz w:val="24"/>
          <w:szCs w:val="24"/>
        </w:rPr>
      </w:pPr>
      <w:r>
        <w:rPr>
          <w:i/>
          <w:color w:val="1F497D"/>
          <w:sz w:val="24"/>
          <w:szCs w:val="24"/>
        </w:rPr>
        <w:t>Timing</w:t>
      </w:r>
    </w:p>
    <w:p w:rsidR="001A2363" w:rsidRDefault="001A2363" w:rsidP="001A2363">
      <w:pPr>
        <w:rPr>
          <w:sz w:val="26"/>
          <w:szCs w:val="26"/>
        </w:rPr>
      </w:pPr>
      <w:r>
        <w:rPr>
          <w:sz w:val="24"/>
        </w:rPr>
        <w:t xml:space="preserve">The programme of work should be completed by May 31st 2023 as set out in part 7, </w:t>
      </w:r>
      <w:r>
        <w:rPr>
          <w:i/>
          <w:sz w:val="24"/>
        </w:rPr>
        <w:t xml:space="preserve">milestones and deliverables, </w:t>
      </w:r>
      <w:r>
        <w:rPr>
          <w:sz w:val="24"/>
        </w:rPr>
        <w:t xml:space="preserve">below. </w:t>
      </w:r>
    </w:p>
    <w:p w:rsidR="001A2363" w:rsidRDefault="001A2363" w:rsidP="001A2363">
      <w:pPr>
        <w:pStyle w:val="Heading2"/>
        <w:spacing w:after="120"/>
        <w:rPr>
          <w:sz w:val="24"/>
          <w:szCs w:val="24"/>
          <w:highlight w:val="yellow"/>
        </w:rPr>
      </w:pPr>
    </w:p>
    <w:p w:rsidR="001A2363" w:rsidRDefault="001A2363" w:rsidP="002D184F">
      <w:pPr>
        <w:pStyle w:val="Heading1"/>
        <w:keepLines w:val="0"/>
        <w:numPr>
          <w:ilvl w:val="0"/>
          <w:numId w:val="11"/>
        </w:numPr>
        <w:adjustRightInd w:val="0"/>
        <w:spacing w:before="0" w:after="120" w:line="240" w:lineRule="auto"/>
        <w:jc w:val="both"/>
        <w:rPr>
          <w:sz w:val="32"/>
          <w:szCs w:val="32"/>
        </w:rPr>
      </w:pPr>
      <w:bookmarkStart w:id="89" w:name="_heading=h.3rdcrjn" w:colFirst="0" w:colLast="0"/>
      <w:bookmarkEnd w:id="89"/>
      <w:r>
        <w:rPr>
          <w:sz w:val="32"/>
          <w:szCs w:val="32"/>
        </w:rPr>
        <w:t>key milestones and Deliverables</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The following Contract milestones/deliverables shall apply:</w:t>
      </w:r>
    </w:p>
    <w:tbl>
      <w:tblPr>
        <w:tblW w:w="9015" w:type="dxa"/>
        <w:tblInd w:w="-11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895"/>
        <w:gridCol w:w="3345"/>
        <w:gridCol w:w="2775"/>
      </w:tblGrid>
      <w:tr w:rsidR="001A2363" w:rsidTr="00214116">
        <w:tc>
          <w:tcPr>
            <w:tcW w:w="2895" w:type="dxa"/>
            <w:shd w:val="clear" w:color="auto" w:fill="B8CCE4"/>
            <w:vAlign w:val="center"/>
          </w:tcPr>
          <w:p w:rsidR="001A2363" w:rsidRDefault="001A2363" w:rsidP="00214116">
            <w:pPr>
              <w:pStyle w:val="Heading3"/>
              <w:spacing w:after="120"/>
              <w:ind w:left="1800"/>
            </w:pPr>
            <w:r>
              <w:lastRenderedPageBreak/>
              <w:t>Milestone/Deliverable</w:t>
            </w:r>
          </w:p>
        </w:tc>
        <w:tc>
          <w:tcPr>
            <w:tcW w:w="3345" w:type="dxa"/>
            <w:shd w:val="clear" w:color="auto" w:fill="B8CCE4"/>
            <w:vAlign w:val="center"/>
          </w:tcPr>
          <w:p w:rsidR="001A2363" w:rsidRDefault="001A2363" w:rsidP="00214116">
            <w:pPr>
              <w:pStyle w:val="Heading3"/>
              <w:spacing w:after="120"/>
            </w:pPr>
            <w:r>
              <w:t>Description</w:t>
            </w:r>
          </w:p>
        </w:tc>
        <w:tc>
          <w:tcPr>
            <w:tcW w:w="2775" w:type="dxa"/>
            <w:shd w:val="clear" w:color="auto" w:fill="B8CCE4"/>
            <w:vAlign w:val="center"/>
          </w:tcPr>
          <w:p w:rsidR="001A2363" w:rsidRDefault="001A2363" w:rsidP="00214116">
            <w:pPr>
              <w:pStyle w:val="Heading3"/>
              <w:spacing w:after="120"/>
            </w:pPr>
            <w:r>
              <w:t>Timeframe or Delivery Date</w:t>
            </w:r>
          </w:p>
        </w:tc>
      </w:tr>
      <w:tr w:rsidR="001A2363" w:rsidTr="00214116">
        <w:tc>
          <w:tcPr>
            <w:tcW w:w="2895" w:type="dxa"/>
            <w:vAlign w:val="center"/>
          </w:tcPr>
          <w:p w:rsidR="001A2363" w:rsidRPr="00CD12F0" w:rsidRDefault="001A2363" w:rsidP="00214116">
            <w:pPr>
              <w:pStyle w:val="Heading3"/>
              <w:spacing w:after="120"/>
              <w:jc w:val="center"/>
              <w:rPr>
                <w:b/>
                <w:color w:val="000000" w:themeColor="text1"/>
              </w:rPr>
            </w:pPr>
            <w:bookmarkStart w:id="90" w:name="_heading=h.f24nhzbhyepp" w:colFirst="0" w:colLast="0"/>
            <w:bookmarkEnd w:id="90"/>
            <w:r w:rsidRPr="00CD12F0">
              <w:rPr>
                <w:color w:val="000000" w:themeColor="text1"/>
              </w:rPr>
              <w:t>1</w:t>
            </w:r>
          </w:p>
        </w:tc>
        <w:tc>
          <w:tcPr>
            <w:tcW w:w="3345" w:type="dxa"/>
            <w:vAlign w:val="center"/>
          </w:tcPr>
          <w:p w:rsidR="001A2363" w:rsidRPr="00CD12F0" w:rsidRDefault="001A2363" w:rsidP="00214116">
            <w:pPr>
              <w:pStyle w:val="Heading3"/>
              <w:spacing w:after="120"/>
              <w:rPr>
                <w:b/>
                <w:color w:val="000000" w:themeColor="text1"/>
              </w:rPr>
            </w:pPr>
            <w:bookmarkStart w:id="91" w:name="_heading=h.r049ykk2njci" w:colFirst="0" w:colLast="0"/>
            <w:bookmarkEnd w:id="91"/>
            <w:r w:rsidRPr="00CD12F0">
              <w:rPr>
                <w:color w:val="000000" w:themeColor="text1"/>
              </w:rPr>
              <w:t>Contract in place</w:t>
            </w:r>
          </w:p>
        </w:tc>
        <w:tc>
          <w:tcPr>
            <w:tcW w:w="2775" w:type="dxa"/>
            <w:vAlign w:val="center"/>
          </w:tcPr>
          <w:p w:rsidR="001A2363" w:rsidRPr="00CD12F0" w:rsidRDefault="001A2363" w:rsidP="00214116">
            <w:pPr>
              <w:pStyle w:val="Heading3"/>
              <w:spacing w:after="120"/>
              <w:rPr>
                <w:b/>
                <w:color w:val="000000" w:themeColor="text1"/>
              </w:rPr>
            </w:pPr>
            <w:bookmarkStart w:id="92" w:name="_heading=h.hrmku8ljvvzn" w:colFirst="0" w:colLast="0"/>
            <w:bookmarkEnd w:id="92"/>
            <w:r w:rsidRPr="00CD12F0">
              <w:rPr>
                <w:color w:val="000000" w:themeColor="text1"/>
              </w:rPr>
              <w:t>1 week from contract award</w:t>
            </w:r>
          </w:p>
        </w:tc>
      </w:tr>
      <w:tr w:rsidR="001A2363" w:rsidTr="00214116">
        <w:tc>
          <w:tcPr>
            <w:tcW w:w="2895" w:type="dxa"/>
            <w:vAlign w:val="center"/>
          </w:tcPr>
          <w:p w:rsidR="001A2363" w:rsidRPr="00CD12F0" w:rsidRDefault="001A2363" w:rsidP="00214116">
            <w:pPr>
              <w:pStyle w:val="Heading3"/>
              <w:spacing w:after="120"/>
              <w:jc w:val="center"/>
              <w:rPr>
                <w:b/>
                <w:color w:val="000000" w:themeColor="text1"/>
              </w:rPr>
            </w:pPr>
            <w:bookmarkStart w:id="93" w:name="_heading=h.3l0n81x75vs1" w:colFirst="0" w:colLast="0"/>
            <w:bookmarkEnd w:id="93"/>
            <w:r w:rsidRPr="00CD12F0">
              <w:rPr>
                <w:color w:val="000000" w:themeColor="text1"/>
              </w:rPr>
              <w:t>2</w:t>
            </w:r>
          </w:p>
        </w:tc>
        <w:tc>
          <w:tcPr>
            <w:tcW w:w="3345" w:type="dxa"/>
            <w:vAlign w:val="center"/>
          </w:tcPr>
          <w:p w:rsidR="001A2363" w:rsidRPr="00CD12F0" w:rsidRDefault="001A2363" w:rsidP="00214116">
            <w:pPr>
              <w:pStyle w:val="Heading3"/>
              <w:spacing w:after="120"/>
              <w:rPr>
                <w:b/>
                <w:color w:val="000000" w:themeColor="text1"/>
              </w:rPr>
            </w:pPr>
            <w:bookmarkStart w:id="94" w:name="_heading=h.84b6gro6807s" w:colFirst="0" w:colLast="0"/>
            <w:bookmarkEnd w:id="94"/>
            <w:r w:rsidRPr="00CD12F0">
              <w:rPr>
                <w:color w:val="000000" w:themeColor="text1"/>
              </w:rPr>
              <w:t>Inception meeting</w:t>
            </w:r>
          </w:p>
        </w:tc>
        <w:tc>
          <w:tcPr>
            <w:tcW w:w="2775" w:type="dxa"/>
            <w:vAlign w:val="center"/>
          </w:tcPr>
          <w:p w:rsidR="001A2363" w:rsidRPr="00CD12F0" w:rsidRDefault="001A2363" w:rsidP="00214116">
            <w:pPr>
              <w:pStyle w:val="Heading3"/>
              <w:spacing w:after="120"/>
              <w:rPr>
                <w:b/>
                <w:color w:val="000000" w:themeColor="text1"/>
              </w:rPr>
            </w:pPr>
            <w:bookmarkStart w:id="95" w:name="_heading=h.gsxhavg1ghpe" w:colFirst="0" w:colLast="0"/>
            <w:bookmarkEnd w:id="95"/>
            <w:r w:rsidRPr="00CD12F0">
              <w:rPr>
                <w:color w:val="000000" w:themeColor="text1"/>
              </w:rPr>
              <w:t>2 weeks from contract award</w:t>
            </w:r>
          </w:p>
        </w:tc>
      </w:tr>
      <w:tr w:rsidR="001A2363" w:rsidTr="00214116">
        <w:tc>
          <w:tcPr>
            <w:tcW w:w="2895" w:type="dxa"/>
            <w:vAlign w:val="center"/>
          </w:tcPr>
          <w:p w:rsidR="001A2363" w:rsidRPr="00CD12F0" w:rsidRDefault="001A2363" w:rsidP="00214116">
            <w:pPr>
              <w:pStyle w:val="Heading3"/>
              <w:spacing w:after="120"/>
              <w:jc w:val="center"/>
              <w:rPr>
                <w:b/>
                <w:color w:val="000000" w:themeColor="text1"/>
              </w:rPr>
            </w:pPr>
            <w:bookmarkStart w:id="96" w:name="_heading=h.pradcteg7psf" w:colFirst="0" w:colLast="0"/>
            <w:bookmarkEnd w:id="96"/>
            <w:r w:rsidRPr="00CD12F0">
              <w:rPr>
                <w:color w:val="000000" w:themeColor="text1"/>
              </w:rPr>
              <w:t>3</w:t>
            </w:r>
          </w:p>
        </w:tc>
        <w:tc>
          <w:tcPr>
            <w:tcW w:w="3345" w:type="dxa"/>
            <w:vAlign w:val="center"/>
          </w:tcPr>
          <w:p w:rsidR="001A2363" w:rsidRPr="00CD12F0" w:rsidRDefault="001A2363" w:rsidP="00214116">
            <w:pPr>
              <w:pStyle w:val="Heading3"/>
              <w:spacing w:after="120"/>
              <w:rPr>
                <w:b/>
                <w:color w:val="000000" w:themeColor="text1"/>
              </w:rPr>
            </w:pPr>
            <w:bookmarkStart w:id="97" w:name="_heading=h.ir700zpo2icg" w:colFirst="0" w:colLast="0"/>
            <w:bookmarkEnd w:id="97"/>
            <w:r w:rsidRPr="00CD12F0">
              <w:rPr>
                <w:color w:val="000000" w:themeColor="text1"/>
              </w:rPr>
              <w:t>Weekly progress meetings</w:t>
            </w:r>
          </w:p>
        </w:tc>
        <w:tc>
          <w:tcPr>
            <w:tcW w:w="2775" w:type="dxa"/>
            <w:vAlign w:val="center"/>
          </w:tcPr>
          <w:p w:rsidR="001A2363" w:rsidRPr="00CD12F0" w:rsidRDefault="001A2363" w:rsidP="00214116">
            <w:pPr>
              <w:pStyle w:val="Heading3"/>
              <w:spacing w:after="120"/>
              <w:rPr>
                <w:b/>
                <w:color w:val="000000" w:themeColor="text1"/>
              </w:rPr>
            </w:pPr>
            <w:bookmarkStart w:id="98" w:name="_heading=h.nvxwn6rmm85l" w:colFirst="0" w:colLast="0"/>
            <w:bookmarkEnd w:id="98"/>
            <w:r w:rsidRPr="00CD12F0">
              <w:rPr>
                <w:color w:val="000000" w:themeColor="text1"/>
              </w:rPr>
              <w:t>6-8 weeks from contract award</w:t>
            </w:r>
          </w:p>
        </w:tc>
      </w:tr>
      <w:tr w:rsidR="001A2363" w:rsidTr="00214116">
        <w:tc>
          <w:tcPr>
            <w:tcW w:w="2895" w:type="dxa"/>
            <w:vAlign w:val="center"/>
          </w:tcPr>
          <w:p w:rsidR="001A2363" w:rsidRPr="00CD12F0" w:rsidRDefault="001A2363" w:rsidP="00214116">
            <w:pPr>
              <w:pStyle w:val="Heading3"/>
              <w:spacing w:after="120"/>
              <w:jc w:val="center"/>
              <w:rPr>
                <w:b/>
                <w:color w:val="000000" w:themeColor="text1"/>
              </w:rPr>
            </w:pPr>
            <w:bookmarkStart w:id="99" w:name="_heading=h.y1qoh05478g8" w:colFirst="0" w:colLast="0"/>
            <w:bookmarkEnd w:id="99"/>
            <w:r w:rsidRPr="00CD12F0">
              <w:rPr>
                <w:color w:val="000000" w:themeColor="text1"/>
              </w:rPr>
              <w:t>4</w:t>
            </w:r>
          </w:p>
        </w:tc>
        <w:tc>
          <w:tcPr>
            <w:tcW w:w="3345" w:type="dxa"/>
            <w:vAlign w:val="center"/>
          </w:tcPr>
          <w:p w:rsidR="001A2363" w:rsidRPr="00CD12F0" w:rsidRDefault="001A2363" w:rsidP="00214116">
            <w:pPr>
              <w:pStyle w:val="Heading3"/>
              <w:spacing w:after="120"/>
              <w:rPr>
                <w:b/>
                <w:color w:val="000000" w:themeColor="text1"/>
              </w:rPr>
            </w:pPr>
            <w:bookmarkStart w:id="100" w:name="_heading=h.qg7d5rhixz8r" w:colFirst="0" w:colLast="0"/>
            <w:bookmarkEnd w:id="100"/>
            <w:r w:rsidRPr="00CD12F0">
              <w:rPr>
                <w:color w:val="000000" w:themeColor="text1"/>
              </w:rPr>
              <w:t>Interim findings</w:t>
            </w:r>
          </w:p>
        </w:tc>
        <w:tc>
          <w:tcPr>
            <w:tcW w:w="2775" w:type="dxa"/>
            <w:vAlign w:val="center"/>
          </w:tcPr>
          <w:p w:rsidR="001A2363" w:rsidRPr="00CD12F0" w:rsidRDefault="001A2363" w:rsidP="00214116">
            <w:pPr>
              <w:pStyle w:val="Heading3"/>
              <w:spacing w:after="120"/>
              <w:rPr>
                <w:b/>
                <w:color w:val="000000" w:themeColor="text1"/>
              </w:rPr>
            </w:pPr>
            <w:bookmarkStart w:id="101" w:name="_heading=h.pu9kfs8vr60g" w:colFirst="0" w:colLast="0"/>
            <w:bookmarkEnd w:id="101"/>
            <w:r w:rsidRPr="00CD12F0">
              <w:rPr>
                <w:color w:val="000000" w:themeColor="text1"/>
              </w:rPr>
              <w:t>10 weeks from contract award</w:t>
            </w:r>
          </w:p>
        </w:tc>
      </w:tr>
      <w:tr w:rsidR="001A2363" w:rsidTr="00214116">
        <w:tc>
          <w:tcPr>
            <w:tcW w:w="2895" w:type="dxa"/>
            <w:vAlign w:val="center"/>
          </w:tcPr>
          <w:p w:rsidR="001A2363" w:rsidRPr="00CD12F0" w:rsidRDefault="001A2363" w:rsidP="00214116">
            <w:pPr>
              <w:pStyle w:val="Heading3"/>
              <w:spacing w:after="120"/>
              <w:jc w:val="center"/>
              <w:rPr>
                <w:b/>
                <w:color w:val="000000" w:themeColor="text1"/>
              </w:rPr>
            </w:pPr>
            <w:bookmarkStart w:id="102" w:name="_heading=h.pfxgl6j17niq" w:colFirst="0" w:colLast="0"/>
            <w:bookmarkEnd w:id="102"/>
            <w:r w:rsidRPr="00CD12F0">
              <w:rPr>
                <w:color w:val="000000" w:themeColor="text1"/>
              </w:rPr>
              <w:t>5</w:t>
            </w:r>
          </w:p>
        </w:tc>
        <w:tc>
          <w:tcPr>
            <w:tcW w:w="3345" w:type="dxa"/>
            <w:vAlign w:val="center"/>
          </w:tcPr>
          <w:p w:rsidR="001A2363" w:rsidRPr="00CD12F0" w:rsidRDefault="001A2363" w:rsidP="00214116">
            <w:pPr>
              <w:pStyle w:val="Heading3"/>
              <w:spacing w:after="120"/>
              <w:rPr>
                <w:b/>
                <w:color w:val="000000" w:themeColor="text1"/>
              </w:rPr>
            </w:pPr>
            <w:bookmarkStart w:id="103" w:name="_heading=h.4uq13xatox1m" w:colFirst="0" w:colLast="0"/>
            <w:bookmarkEnd w:id="103"/>
            <w:r w:rsidRPr="00CD12F0">
              <w:rPr>
                <w:color w:val="000000" w:themeColor="text1"/>
              </w:rPr>
              <w:t>Draft summary report and accompanying slides</w:t>
            </w:r>
          </w:p>
        </w:tc>
        <w:tc>
          <w:tcPr>
            <w:tcW w:w="2775" w:type="dxa"/>
            <w:vAlign w:val="center"/>
          </w:tcPr>
          <w:p w:rsidR="001A2363" w:rsidRPr="00CD12F0" w:rsidRDefault="001A2363" w:rsidP="00214116">
            <w:pPr>
              <w:pStyle w:val="Heading3"/>
              <w:spacing w:after="120"/>
              <w:rPr>
                <w:b/>
                <w:color w:val="000000" w:themeColor="text1"/>
              </w:rPr>
            </w:pPr>
            <w:bookmarkStart w:id="104" w:name="_heading=h.14fvzjootv4m" w:colFirst="0" w:colLast="0"/>
            <w:bookmarkEnd w:id="104"/>
            <w:r w:rsidRPr="00CD12F0">
              <w:rPr>
                <w:color w:val="000000" w:themeColor="text1"/>
              </w:rPr>
              <w:t>14 weeks from contract award</w:t>
            </w:r>
          </w:p>
        </w:tc>
      </w:tr>
      <w:tr w:rsidR="001A2363" w:rsidTr="00214116">
        <w:tc>
          <w:tcPr>
            <w:tcW w:w="2895" w:type="dxa"/>
            <w:vAlign w:val="center"/>
          </w:tcPr>
          <w:p w:rsidR="001A2363" w:rsidRPr="00CD12F0" w:rsidRDefault="001A2363" w:rsidP="00214116">
            <w:pPr>
              <w:pStyle w:val="Heading3"/>
              <w:spacing w:after="120"/>
              <w:jc w:val="center"/>
              <w:rPr>
                <w:b/>
                <w:color w:val="000000" w:themeColor="text1"/>
              </w:rPr>
            </w:pPr>
            <w:bookmarkStart w:id="105" w:name="_heading=h.3r4whphr2guq" w:colFirst="0" w:colLast="0"/>
            <w:bookmarkEnd w:id="105"/>
            <w:r w:rsidRPr="00CD12F0">
              <w:rPr>
                <w:color w:val="000000" w:themeColor="text1"/>
              </w:rPr>
              <w:t>6</w:t>
            </w:r>
          </w:p>
        </w:tc>
        <w:tc>
          <w:tcPr>
            <w:tcW w:w="3345" w:type="dxa"/>
            <w:vAlign w:val="center"/>
          </w:tcPr>
          <w:p w:rsidR="001A2363" w:rsidRPr="00CD12F0" w:rsidRDefault="001A2363" w:rsidP="00214116">
            <w:pPr>
              <w:pStyle w:val="Heading3"/>
              <w:spacing w:after="120"/>
              <w:rPr>
                <w:b/>
                <w:color w:val="000000" w:themeColor="text1"/>
              </w:rPr>
            </w:pPr>
            <w:bookmarkStart w:id="106" w:name="_heading=h.fryr1mwtuutk" w:colFirst="0" w:colLast="0"/>
            <w:bookmarkEnd w:id="106"/>
            <w:r w:rsidRPr="00CD12F0">
              <w:rPr>
                <w:color w:val="000000" w:themeColor="text1"/>
              </w:rPr>
              <w:t xml:space="preserve">Draft project specific findings, case studies, guidance and tools </w:t>
            </w:r>
          </w:p>
        </w:tc>
        <w:tc>
          <w:tcPr>
            <w:tcW w:w="2775" w:type="dxa"/>
            <w:vAlign w:val="center"/>
          </w:tcPr>
          <w:p w:rsidR="001A2363" w:rsidRPr="00CD12F0" w:rsidRDefault="001A2363" w:rsidP="00214116">
            <w:pPr>
              <w:pStyle w:val="Heading3"/>
              <w:spacing w:after="120"/>
              <w:rPr>
                <w:b/>
                <w:color w:val="000000" w:themeColor="text1"/>
              </w:rPr>
            </w:pPr>
            <w:bookmarkStart w:id="107" w:name="_heading=h.vsludnbk1p1n" w:colFirst="0" w:colLast="0"/>
            <w:bookmarkEnd w:id="107"/>
            <w:r w:rsidRPr="00CD12F0">
              <w:rPr>
                <w:color w:val="000000" w:themeColor="text1"/>
              </w:rPr>
              <w:t>16 weeks from contract award</w:t>
            </w:r>
          </w:p>
        </w:tc>
      </w:tr>
      <w:tr w:rsidR="001A2363" w:rsidTr="00214116">
        <w:tc>
          <w:tcPr>
            <w:tcW w:w="2895" w:type="dxa"/>
            <w:vAlign w:val="center"/>
          </w:tcPr>
          <w:p w:rsidR="001A2363" w:rsidRPr="00CD12F0" w:rsidRDefault="001A2363" w:rsidP="00214116">
            <w:pPr>
              <w:pStyle w:val="Heading3"/>
              <w:spacing w:after="120"/>
              <w:jc w:val="center"/>
              <w:rPr>
                <w:b/>
                <w:color w:val="000000" w:themeColor="text1"/>
              </w:rPr>
            </w:pPr>
            <w:bookmarkStart w:id="108" w:name="_heading=h.qvp4e0dmokw6" w:colFirst="0" w:colLast="0"/>
            <w:bookmarkEnd w:id="108"/>
            <w:r w:rsidRPr="00CD12F0">
              <w:rPr>
                <w:color w:val="000000" w:themeColor="text1"/>
              </w:rPr>
              <w:t>7</w:t>
            </w:r>
          </w:p>
        </w:tc>
        <w:tc>
          <w:tcPr>
            <w:tcW w:w="3345" w:type="dxa"/>
            <w:vAlign w:val="center"/>
          </w:tcPr>
          <w:p w:rsidR="001A2363" w:rsidRPr="00CD12F0" w:rsidRDefault="001A2363" w:rsidP="00214116">
            <w:pPr>
              <w:pStyle w:val="Heading3"/>
              <w:spacing w:after="120"/>
              <w:rPr>
                <w:b/>
                <w:color w:val="000000" w:themeColor="text1"/>
              </w:rPr>
            </w:pPr>
            <w:bookmarkStart w:id="109" w:name="_heading=h.rb6a5nb36hgi" w:colFirst="0" w:colLast="0"/>
            <w:bookmarkEnd w:id="109"/>
            <w:r w:rsidRPr="00CD12F0">
              <w:rPr>
                <w:color w:val="000000" w:themeColor="text1"/>
              </w:rPr>
              <w:t>Final summary report and accompanying slides, project specific findings, case studies, guidance and tools</w:t>
            </w:r>
          </w:p>
        </w:tc>
        <w:tc>
          <w:tcPr>
            <w:tcW w:w="2775" w:type="dxa"/>
            <w:vAlign w:val="center"/>
          </w:tcPr>
          <w:p w:rsidR="001A2363" w:rsidRPr="00CD12F0" w:rsidRDefault="001A2363" w:rsidP="00214116">
            <w:pPr>
              <w:pStyle w:val="Heading3"/>
              <w:spacing w:after="120"/>
              <w:rPr>
                <w:b/>
                <w:color w:val="000000" w:themeColor="text1"/>
              </w:rPr>
            </w:pPr>
            <w:bookmarkStart w:id="110" w:name="_heading=h.mpgnh2cpndfn" w:colFirst="0" w:colLast="0"/>
            <w:bookmarkEnd w:id="110"/>
            <w:r w:rsidRPr="00CD12F0">
              <w:rPr>
                <w:color w:val="000000" w:themeColor="text1"/>
              </w:rPr>
              <w:t>19 weeks from contract award</w:t>
            </w:r>
          </w:p>
        </w:tc>
      </w:tr>
    </w:tbl>
    <w:p w:rsidR="001A2363" w:rsidRDefault="001A2363" w:rsidP="001A2363">
      <w:pPr>
        <w:pStyle w:val="Heading1"/>
        <w:spacing w:after="120"/>
      </w:pPr>
      <w:bookmarkStart w:id="111" w:name="_heading=h.26in1rg" w:colFirst="0" w:colLast="0"/>
      <w:bookmarkEnd w:id="111"/>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12" w:name="_heading=h.lnxbz9" w:colFirst="0" w:colLast="0"/>
      <w:bookmarkEnd w:id="112"/>
      <w:r>
        <w:rPr>
          <w:sz w:val="32"/>
          <w:szCs w:val="32"/>
        </w:rPr>
        <w:t>MANAGEMENT INFORMATION/reporting</w:t>
      </w:r>
    </w:p>
    <w:p w:rsidR="001A2363" w:rsidRDefault="001A2363" w:rsidP="002D184F">
      <w:pPr>
        <w:pStyle w:val="Heading2"/>
        <w:keepNext w:val="0"/>
        <w:keepLines w:val="0"/>
        <w:numPr>
          <w:ilvl w:val="1"/>
          <w:numId w:val="11"/>
        </w:numPr>
        <w:adjustRightInd w:val="0"/>
        <w:spacing w:before="0" w:after="240" w:line="240" w:lineRule="auto"/>
        <w:jc w:val="both"/>
        <w:rPr>
          <w:sz w:val="24"/>
          <w:szCs w:val="24"/>
        </w:rPr>
      </w:pPr>
      <w:bookmarkStart w:id="113" w:name="_heading=h.fmwzf3b1amx8" w:colFirst="0" w:colLast="0"/>
      <w:bookmarkEnd w:id="113"/>
      <w:r>
        <w:rPr>
          <w:sz w:val="24"/>
          <w:szCs w:val="24"/>
        </w:rPr>
        <w:t>The ETF will provide a team of three to support the review and development of advice and guidance. This will include a Project Lead, who will oversee the progress of the project and be responsible for signing off deliverables. Once the timetable for the project has been agreed, we will ensure that ETF team members can provide comments and sign off in a timely way.</w:t>
      </w:r>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14" w:name="_heading=h.35nkun2" w:colFirst="0" w:colLast="0"/>
      <w:bookmarkEnd w:id="114"/>
      <w:r>
        <w:rPr>
          <w:sz w:val="32"/>
          <w:szCs w:val="32"/>
        </w:rPr>
        <w:t>volumes</w:t>
      </w:r>
    </w:p>
    <w:p w:rsidR="001A2363" w:rsidRDefault="001A2363" w:rsidP="001A2363">
      <w:pPr>
        <w:ind w:left="720"/>
        <w:rPr>
          <w:sz w:val="24"/>
        </w:rPr>
      </w:pPr>
      <w:r>
        <w:rPr>
          <w:sz w:val="24"/>
        </w:rPr>
        <w:t xml:space="preserve">The supplier will need to review evaluation arrangements for all major projects listed in the GMPP which is around 242 projects, carry out interviews with between 30-50 major project teams and make assessments of the evaluation plans in place. </w:t>
      </w:r>
    </w:p>
    <w:p w:rsidR="001A2363" w:rsidRDefault="001A2363" w:rsidP="001A2363">
      <w:pPr>
        <w:ind w:left="720"/>
        <w:rPr>
          <w:sz w:val="24"/>
        </w:rPr>
      </w:pPr>
    </w:p>
    <w:p w:rsidR="001A2363" w:rsidRDefault="001A2363" w:rsidP="001A2363">
      <w:pPr>
        <w:ind w:left="720"/>
        <w:rPr>
          <w:sz w:val="24"/>
        </w:rPr>
      </w:pPr>
      <w:r>
        <w:rPr>
          <w:sz w:val="24"/>
        </w:rPr>
        <w:lastRenderedPageBreak/>
        <w:t>The supplier will also be required to provide project-specific findings and insights on how they could be improved as well as guidance on what robust evaluation plans should look like for major projects.</w:t>
      </w:r>
    </w:p>
    <w:p w:rsidR="001A2363" w:rsidRDefault="001A2363" w:rsidP="001A2363">
      <w:pPr>
        <w:ind w:left="720"/>
        <w:rPr>
          <w:sz w:val="24"/>
        </w:rPr>
      </w:pPr>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15" w:name="_heading=h.1ksv4uv" w:colFirst="0" w:colLast="0"/>
      <w:bookmarkEnd w:id="115"/>
      <w:r>
        <w:rPr>
          <w:sz w:val="32"/>
          <w:szCs w:val="32"/>
        </w:rPr>
        <w:t>continuous improvement</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The Supplier will be expected to continually improve the way in which the required Services are to be delivered throughout the Contract duration.</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 xml:space="preserve">The Supplier should present new ways of working to the Authority during monthly Contract review meetings. </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Changes to the way in which the Services are to be delivered must be brought to the Authority’s attention and agreed prior to any changes being implemented.</w:t>
      </w:r>
    </w:p>
    <w:p w:rsidR="001A2363" w:rsidRDefault="001A2363" w:rsidP="002D184F">
      <w:pPr>
        <w:pStyle w:val="Heading1"/>
        <w:keepLines w:val="0"/>
        <w:numPr>
          <w:ilvl w:val="0"/>
          <w:numId w:val="11"/>
        </w:numPr>
        <w:adjustRightInd w:val="0"/>
        <w:spacing w:before="0" w:after="240" w:line="240" w:lineRule="auto"/>
        <w:jc w:val="both"/>
        <w:rPr>
          <w:sz w:val="32"/>
          <w:szCs w:val="32"/>
        </w:rPr>
      </w:pPr>
      <w:bookmarkStart w:id="116" w:name="_heading=h.44sinio" w:colFirst="0" w:colLast="0"/>
      <w:bookmarkEnd w:id="116"/>
      <w:r>
        <w:rPr>
          <w:sz w:val="32"/>
          <w:szCs w:val="32"/>
        </w:rPr>
        <w:t>SOCIAL VALUE</w:t>
      </w:r>
    </w:p>
    <w:p w:rsidR="001A2363" w:rsidRDefault="001A2363" w:rsidP="002D184F">
      <w:pPr>
        <w:pStyle w:val="Heading2"/>
        <w:keepNext w:val="0"/>
        <w:keepLines w:val="0"/>
        <w:numPr>
          <w:ilvl w:val="1"/>
          <w:numId w:val="11"/>
        </w:numPr>
        <w:adjustRightInd w:val="0"/>
        <w:spacing w:before="0" w:after="240" w:line="240" w:lineRule="auto"/>
        <w:jc w:val="both"/>
        <w:rPr>
          <w:sz w:val="24"/>
          <w:szCs w:val="24"/>
        </w:rPr>
      </w:pPr>
      <w:r>
        <w:rPr>
          <w:sz w:val="24"/>
          <w:szCs w:val="24"/>
        </w:rPr>
        <w:t>The Supplier will be expected to demonstrate how they will tackle economic inequality over and above the requirements of the Contract.</w:t>
      </w:r>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17" w:name="_heading=h.2jxsxqh" w:colFirst="0" w:colLast="0"/>
      <w:bookmarkEnd w:id="117"/>
      <w:r>
        <w:rPr>
          <w:sz w:val="32"/>
          <w:szCs w:val="32"/>
        </w:rPr>
        <w:t>quality</w:t>
      </w:r>
    </w:p>
    <w:p w:rsidR="001A2363" w:rsidRDefault="001A2363" w:rsidP="002D184F">
      <w:pPr>
        <w:numPr>
          <w:ilvl w:val="1"/>
          <w:numId w:val="11"/>
        </w:numPr>
        <w:spacing w:after="0" w:line="240" w:lineRule="auto"/>
        <w:rPr>
          <w:sz w:val="26"/>
          <w:szCs w:val="26"/>
        </w:rPr>
      </w:pPr>
      <w:r>
        <w:rPr>
          <w:sz w:val="24"/>
        </w:rPr>
        <w:t xml:space="preserve">All project outputs should be quality assured before being submitted to the ETF. The supplier should refer to the guidance and standards set out in the </w:t>
      </w:r>
      <w:hyperlink r:id="rId12">
        <w:r>
          <w:rPr>
            <w:color w:val="1155CC"/>
            <w:sz w:val="24"/>
            <w:u w:val="single"/>
          </w:rPr>
          <w:t>Magenta Book</w:t>
        </w:r>
      </w:hyperlink>
      <w:r>
        <w:rPr>
          <w:sz w:val="24"/>
        </w:rPr>
        <w:t xml:space="preserve"> when designing and delivering the review and developing guidance for major project teams.</w:t>
      </w:r>
    </w:p>
    <w:p w:rsidR="001A2363" w:rsidRDefault="001A2363" w:rsidP="001A2363">
      <w:pPr>
        <w:rPr>
          <w:sz w:val="24"/>
        </w:rPr>
      </w:pPr>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18" w:name="_heading=h.z337ya" w:colFirst="0" w:colLast="0"/>
      <w:bookmarkEnd w:id="118"/>
      <w:r>
        <w:rPr>
          <w:sz w:val="32"/>
          <w:szCs w:val="32"/>
        </w:rPr>
        <w:t>PRICE</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The total budget for the work is up to £270,000 (excluding VAT), consisting of up to £240,000 for the review phase by end of March 2023 and up to £30,000 for the toolkits and guidance phase by end of May 2023. A full breakdown of costs and personnel should be provided by bidders.</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Interviews with major project teams can be carried out via video meetings but the supplier should cost in any travel required to debrief the ETF and key stakeholders in person in their pricing proposal.</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Prices are to be submitted via the e-Sourcing Suite [Attachment 4 – Price Schedule excluding VAT and including all other expenses relating to Contract delivery.</w:t>
      </w:r>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19" w:name="_heading=h.3j2qqm3" w:colFirst="0" w:colLast="0"/>
      <w:bookmarkEnd w:id="119"/>
      <w:r>
        <w:rPr>
          <w:sz w:val="32"/>
          <w:szCs w:val="32"/>
        </w:rPr>
        <w:t>STAFF AND CUSTOMER SERVICE</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The Supplier shall provide a sufficient level of resource throughout the duration of the Contract in order to consistently deliver a quality service.</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lastRenderedPageBreak/>
        <w:t xml:space="preserve">The Supplier’s staff assigned to the Contract shall have the relevant qualifications and experience to deliver the Contract to the required standard. </w:t>
      </w:r>
    </w:p>
    <w:p w:rsidR="001A2363" w:rsidRDefault="001A2363" w:rsidP="002D184F">
      <w:pPr>
        <w:pStyle w:val="Heading2"/>
        <w:keepNext w:val="0"/>
        <w:keepLines w:val="0"/>
        <w:numPr>
          <w:ilvl w:val="1"/>
          <w:numId w:val="11"/>
        </w:numPr>
        <w:adjustRightInd w:val="0"/>
        <w:spacing w:before="0" w:after="120" w:line="240" w:lineRule="auto"/>
        <w:ind w:left="709" w:hanging="709"/>
        <w:jc w:val="both"/>
        <w:rPr>
          <w:sz w:val="24"/>
          <w:szCs w:val="24"/>
        </w:rPr>
      </w:pPr>
      <w:r>
        <w:rPr>
          <w:sz w:val="24"/>
          <w:szCs w:val="24"/>
        </w:rPr>
        <w:t xml:space="preserve">The Supplier shall ensure that staff understand the Authority’s vision and objectives and will provide excellent customer service to the Authority throughout the duration of the Contract.  </w:t>
      </w:r>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20" w:name="_heading=h.1y810tw" w:colFirst="0" w:colLast="0"/>
      <w:bookmarkEnd w:id="120"/>
      <w:r>
        <w:rPr>
          <w:sz w:val="32"/>
          <w:szCs w:val="32"/>
        </w:rPr>
        <w:t>service levels and performance</w:t>
      </w:r>
    </w:p>
    <w:p w:rsidR="001A2363" w:rsidRDefault="001A2363" w:rsidP="001A2363">
      <w:pPr>
        <w:tabs>
          <w:tab w:val="left" w:pos="-1199"/>
          <w:tab w:val="left" w:pos="-719"/>
          <w:tab w:val="left" w:pos="0"/>
          <w:tab w:val="left" w:pos="543"/>
          <w:tab w:val="left" w:pos="1110"/>
          <w:tab w:val="left" w:pos="1677"/>
          <w:tab w:val="left" w:pos="2244"/>
          <w:tab w:val="left" w:pos="2811"/>
          <w:tab w:val="left" w:pos="3378"/>
          <w:tab w:val="left" w:pos="3945"/>
          <w:tab w:val="left" w:pos="451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4"/>
        </w:rPr>
      </w:pPr>
    </w:p>
    <w:p w:rsidR="001A2363" w:rsidRDefault="001A2363" w:rsidP="002D184F">
      <w:pPr>
        <w:numPr>
          <w:ilvl w:val="1"/>
          <w:numId w:val="11"/>
        </w:numPr>
        <w:tabs>
          <w:tab w:val="left" w:pos="-1199"/>
          <w:tab w:val="left" w:pos="-719"/>
          <w:tab w:val="left" w:pos="0"/>
          <w:tab w:val="left" w:pos="543"/>
          <w:tab w:val="left" w:pos="1110"/>
          <w:tab w:val="left" w:pos="1677"/>
          <w:tab w:val="left" w:pos="2244"/>
          <w:tab w:val="left" w:pos="2811"/>
          <w:tab w:val="left" w:pos="3378"/>
          <w:tab w:val="left" w:pos="3945"/>
          <w:tab w:val="left" w:pos="451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sz w:val="26"/>
          <w:szCs w:val="26"/>
        </w:rPr>
      </w:pPr>
      <w:r>
        <w:rPr>
          <w:sz w:val="24"/>
        </w:rPr>
        <w:t>All project outputs will need to be reviewed and signed off by the ETF.</w:t>
      </w:r>
      <w:r>
        <w:rPr>
          <w:sz w:val="26"/>
          <w:szCs w:val="26"/>
        </w:rPr>
        <w:t xml:space="preserve"> </w:t>
      </w:r>
      <w:r>
        <w:rPr>
          <w:sz w:val="24"/>
        </w:rPr>
        <w:t>The Authority will measure the quality of the Supplier’s delivery by monitoring progress against the following KPIs:</w:t>
      </w:r>
    </w:p>
    <w:p w:rsidR="001A2363" w:rsidRDefault="001A2363" w:rsidP="002D184F">
      <w:pPr>
        <w:pStyle w:val="Heading2"/>
        <w:keepNext w:val="0"/>
        <w:keepLines w:val="0"/>
        <w:numPr>
          <w:ilvl w:val="1"/>
          <w:numId w:val="5"/>
        </w:numPr>
        <w:adjustRightInd w:val="0"/>
        <w:spacing w:before="0" w:after="120" w:line="240" w:lineRule="auto"/>
        <w:ind w:left="0" w:firstLine="0"/>
        <w:jc w:val="both"/>
        <w:rPr>
          <w:sz w:val="24"/>
          <w:szCs w:val="24"/>
        </w:rPr>
      </w:pPr>
    </w:p>
    <w:tbl>
      <w:tblPr>
        <w:tblW w:w="9183" w:type="dxa"/>
        <w:tblInd w:w="28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990"/>
        <w:gridCol w:w="2370"/>
        <w:gridCol w:w="3750"/>
        <w:gridCol w:w="2073"/>
      </w:tblGrid>
      <w:tr w:rsidR="001A2363" w:rsidTr="00214116">
        <w:tc>
          <w:tcPr>
            <w:tcW w:w="990" w:type="dxa"/>
            <w:shd w:val="clear" w:color="auto" w:fill="B8CCE4"/>
          </w:tcPr>
          <w:p w:rsidR="001A2363" w:rsidRPr="00CD12F0" w:rsidRDefault="001A2363" w:rsidP="00214116">
            <w:pPr>
              <w:pStyle w:val="Heading2"/>
              <w:jc w:val="center"/>
              <w:rPr>
                <w:color w:val="000000" w:themeColor="text1"/>
                <w:sz w:val="24"/>
                <w:szCs w:val="24"/>
              </w:rPr>
            </w:pPr>
            <w:r w:rsidRPr="00CD12F0">
              <w:rPr>
                <w:color w:val="000000" w:themeColor="text1"/>
                <w:sz w:val="24"/>
                <w:szCs w:val="24"/>
              </w:rPr>
              <w:t>KPI/ SLA</w:t>
            </w:r>
          </w:p>
        </w:tc>
        <w:tc>
          <w:tcPr>
            <w:tcW w:w="2370" w:type="dxa"/>
            <w:shd w:val="clear" w:color="auto" w:fill="B8CCE4"/>
          </w:tcPr>
          <w:p w:rsidR="001A2363" w:rsidRPr="00CD12F0" w:rsidRDefault="001A2363" w:rsidP="00214116">
            <w:pPr>
              <w:pStyle w:val="Heading2"/>
              <w:ind w:right="-44"/>
              <w:rPr>
                <w:color w:val="000000" w:themeColor="text1"/>
                <w:sz w:val="24"/>
                <w:szCs w:val="24"/>
              </w:rPr>
            </w:pPr>
            <w:r w:rsidRPr="00CD12F0">
              <w:rPr>
                <w:color w:val="000000" w:themeColor="text1"/>
                <w:sz w:val="24"/>
                <w:szCs w:val="24"/>
              </w:rPr>
              <w:t>Service Area</w:t>
            </w:r>
          </w:p>
        </w:tc>
        <w:tc>
          <w:tcPr>
            <w:tcW w:w="3750" w:type="dxa"/>
            <w:shd w:val="clear" w:color="auto" w:fill="B8CCE4"/>
          </w:tcPr>
          <w:p w:rsidR="001A2363" w:rsidRPr="00CD12F0" w:rsidRDefault="001A2363" w:rsidP="00214116">
            <w:pPr>
              <w:pStyle w:val="Heading2"/>
              <w:rPr>
                <w:color w:val="000000" w:themeColor="text1"/>
                <w:sz w:val="24"/>
                <w:szCs w:val="24"/>
              </w:rPr>
            </w:pPr>
            <w:r w:rsidRPr="00CD12F0">
              <w:rPr>
                <w:color w:val="000000" w:themeColor="text1"/>
                <w:sz w:val="24"/>
                <w:szCs w:val="24"/>
              </w:rPr>
              <w:t>KPI/SLA description</w:t>
            </w:r>
          </w:p>
        </w:tc>
        <w:tc>
          <w:tcPr>
            <w:tcW w:w="2073" w:type="dxa"/>
            <w:shd w:val="clear" w:color="auto" w:fill="B8CCE4"/>
          </w:tcPr>
          <w:p w:rsidR="001A2363" w:rsidRPr="00CD12F0" w:rsidRDefault="001A2363" w:rsidP="00214116">
            <w:pPr>
              <w:pStyle w:val="Heading2"/>
              <w:rPr>
                <w:color w:val="000000" w:themeColor="text1"/>
                <w:sz w:val="24"/>
                <w:szCs w:val="24"/>
              </w:rPr>
            </w:pPr>
            <w:r w:rsidRPr="00CD12F0">
              <w:rPr>
                <w:color w:val="000000" w:themeColor="text1"/>
                <w:sz w:val="24"/>
                <w:szCs w:val="24"/>
              </w:rPr>
              <w:t>Target</w:t>
            </w:r>
          </w:p>
        </w:tc>
      </w:tr>
      <w:tr w:rsidR="001A2363" w:rsidTr="00214116">
        <w:tc>
          <w:tcPr>
            <w:tcW w:w="990" w:type="dxa"/>
          </w:tcPr>
          <w:p w:rsidR="001A2363" w:rsidRPr="00CD12F0" w:rsidRDefault="001A2363" w:rsidP="00214116">
            <w:pPr>
              <w:pStyle w:val="Heading2"/>
              <w:rPr>
                <w:b w:val="0"/>
                <w:color w:val="000000" w:themeColor="text1"/>
                <w:sz w:val="24"/>
                <w:szCs w:val="24"/>
              </w:rPr>
            </w:pPr>
            <w:r>
              <w:rPr>
                <w:b w:val="0"/>
                <w:color w:val="000000" w:themeColor="text1"/>
                <w:sz w:val="24"/>
                <w:szCs w:val="24"/>
              </w:rPr>
              <w:t>1</w:t>
            </w:r>
          </w:p>
        </w:tc>
        <w:tc>
          <w:tcPr>
            <w:tcW w:w="2370"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Supplier Attendance</w:t>
            </w:r>
          </w:p>
        </w:tc>
        <w:tc>
          <w:tcPr>
            <w:tcW w:w="3750"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Supplier attendance at key meetings</w:t>
            </w:r>
          </w:p>
        </w:tc>
        <w:tc>
          <w:tcPr>
            <w:tcW w:w="2073" w:type="dxa"/>
          </w:tcPr>
          <w:p w:rsidR="001A2363" w:rsidRPr="00CD12F0" w:rsidRDefault="001A2363" w:rsidP="00214116">
            <w:pPr>
              <w:pStyle w:val="Heading2"/>
              <w:rPr>
                <w:b w:val="0"/>
                <w:color w:val="000000" w:themeColor="text1"/>
                <w:sz w:val="24"/>
                <w:szCs w:val="24"/>
              </w:rPr>
            </w:pPr>
            <w:r>
              <w:rPr>
                <w:b w:val="0"/>
                <w:color w:val="000000" w:themeColor="text1"/>
                <w:sz w:val="24"/>
                <w:szCs w:val="24"/>
              </w:rPr>
              <w:t>98%</w:t>
            </w:r>
          </w:p>
        </w:tc>
      </w:tr>
      <w:tr w:rsidR="001A2363" w:rsidTr="00214116">
        <w:tc>
          <w:tcPr>
            <w:tcW w:w="990"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2</w:t>
            </w:r>
          </w:p>
        </w:tc>
        <w:tc>
          <w:tcPr>
            <w:tcW w:w="2370"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Supplier Responsiveness</w:t>
            </w:r>
          </w:p>
        </w:tc>
        <w:tc>
          <w:tcPr>
            <w:tcW w:w="3750"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Supplier responds in the same working day to any requests from the ETF submitted by 11am and the next working day to requests submitted after 11am</w:t>
            </w:r>
          </w:p>
        </w:tc>
        <w:tc>
          <w:tcPr>
            <w:tcW w:w="2073"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98% of the time</w:t>
            </w:r>
          </w:p>
        </w:tc>
      </w:tr>
      <w:tr w:rsidR="001A2363" w:rsidTr="00214116">
        <w:tc>
          <w:tcPr>
            <w:tcW w:w="990"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3</w:t>
            </w:r>
          </w:p>
        </w:tc>
        <w:tc>
          <w:tcPr>
            <w:tcW w:w="2370"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Supplier Responsiveness</w:t>
            </w:r>
          </w:p>
        </w:tc>
        <w:tc>
          <w:tcPr>
            <w:tcW w:w="3750" w:type="dxa"/>
          </w:tcPr>
          <w:p w:rsidR="001A2363" w:rsidRPr="00CD12F0" w:rsidRDefault="001A2363" w:rsidP="00214116">
            <w:pPr>
              <w:pStyle w:val="Heading2"/>
              <w:rPr>
                <w:b w:val="0"/>
                <w:color w:val="000000" w:themeColor="text1"/>
                <w:sz w:val="24"/>
                <w:szCs w:val="24"/>
              </w:rPr>
            </w:pPr>
            <w:r w:rsidRPr="00CD12F0">
              <w:rPr>
                <w:b w:val="0"/>
                <w:color w:val="000000" w:themeColor="text1"/>
                <w:sz w:val="24"/>
                <w:szCs w:val="24"/>
              </w:rPr>
              <w:t>The supplier provides the ETF with at least five working days for reviewing drafts and providing comments</w:t>
            </w:r>
          </w:p>
        </w:tc>
        <w:tc>
          <w:tcPr>
            <w:tcW w:w="2073" w:type="dxa"/>
          </w:tcPr>
          <w:p w:rsidR="001A2363" w:rsidRPr="00CD12F0" w:rsidRDefault="001A2363" w:rsidP="00214116">
            <w:pPr>
              <w:pStyle w:val="Heading2"/>
              <w:rPr>
                <w:b w:val="0"/>
                <w:color w:val="000000" w:themeColor="text1"/>
                <w:sz w:val="24"/>
                <w:szCs w:val="24"/>
              </w:rPr>
            </w:pPr>
            <w:bookmarkStart w:id="121" w:name="_heading=h.irxtvqjyvr4s" w:colFirst="0" w:colLast="0"/>
            <w:bookmarkEnd w:id="121"/>
            <w:r w:rsidRPr="00CD12F0">
              <w:rPr>
                <w:b w:val="0"/>
                <w:color w:val="000000" w:themeColor="text1"/>
                <w:sz w:val="24"/>
                <w:szCs w:val="24"/>
              </w:rPr>
              <w:t>98% of the time</w:t>
            </w:r>
          </w:p>
        </w:tc>
      </w:tr>
    </w:tbl>
    <w:p w:rsidR="001A2363" w:rsidRDefault="001A2363" w:rsidP="001A2363">
      <w:pPr>
        <w:pStyle w:val="Heading2"/>
        <w:rPr>
          <w:sz w:val="24"/>
          <w:szCs w:val="24"/>
        </w:rPr>
      </w:pPr>
      <w:bookmarkStart w:id="122" w:name="_heading=h.n2bshm6ayqge" w:colFirst="0" w:colLast="0"/>
      <w:bookmarkEnd w:id="122"/>
    </w:p>
    <w:p w:rsidR="001A2363" w:rsidRDefault="001A2363" w:rsidP="001A2363">
      <w:pPr>
        <w:tabs>
          <w:tab w:val="left" w:pos="-1199"/>
          <w:tab w:val="left" w:pos="-719"/>
          <w:tab w:val="left" w:pos="0"/>
          <w:tab w:val="left" w:pos="543"/>
          <w:tab w:val="left" w:pos="1110"/>
          <w:tab w:val="left" w:pos="1677"/>
          <w:tab w:val="left" w:pos="2244"/>
          <w:tab w:val="left" w:pos="2811"/>
          <w:tab w:val="left" w:pos="3378"/>
          <w:tab w:val="left" w:pos="3945"/>
          <w:tab w:val="left" w:pos="451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4"/>
        </w:rPr>
      </w:pPr>
    </w:p>
    <w:p w:rsidR="001A2363" w:rsidRDefault="001A2363" w:rsidP="002D184F">
      <w:pPr>
        <w:pStyle w:val="Heading1"/>
        <w:keepLines w:val="0"/>
        <w:numPr>
          <w:ilvl w:val="0"/>
          <w:numId w:val="11"/>
        </w:numPr>
        <w:adjustRightInd w:val="0"/>
        <w:spacing w:before="0" w:after="120" w:line="240" w:lineRule="auto"/>
        <w:jc w:val="both"/>
        <w:rPr>
          <w:sz w:val="32"/>
          <w:szCs w:val="32"/>
        </w:rPr>
      </w:pPr>
      <w:bookmarkStart w:id="123" w:name="_heading=h.2xcytpi" w:colFirst="0" w:colLast="0"/>
      <w:bookmarkEnd w:id="123"/>
      <w:r>
        <w:rPr>
          <w:sz w:val="32"/>
          <w:szCs w:val="32"/>
        </w:rPr>
        <w:t>Security and CONFIDENTIALITY requirements</w:t>
      </w:r>
    </w:p>
    <w:p w:rsidR="001A2363" w:rsidRDefault="001A2363" w:rsidP="002D184F">
      <w:pPr>
        <w:numPr>
          <w:ilvl w:val="1"/>
          <w:numId w:val="11"/>
        </w:numPr>
        <w:spacing w:after="0" w:line="240" w:lineRule="auto"/>
        <w:rPr>
          <w:sz w:val="26"/>
          <w:szCs w:val="26"/>
        </w:rPr>
      </w:pPr>
      <w:r>
        <w:rPr>
          <w:sz w:val="24"/>
          <w:highlight w:val="white"/>
        </w:rPr>
        <w:t>Contractors will be required to comply with relevant GDPR protocols for securely accessing GMPP evaluation documents for review and contact information for interviews with GMPP Civil Servants. Data collected during interviews with GMPP teams should not contain any personal identifying information.</w:t>
      </w:r>
    </w:p>
    <w:p w:rsidR="001A2363" w:rsidRDefault="001A2363" w:rsidP="001A2363">
      <w:pPr>
        <w:ind w:left="720"/>
        <w:rPr>
          <w:sz w:val="24"/>
          <w:highlight w:val="white"/>
        </w:rPr>
      </w:pPr>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24" w:name="_heading=h.1ci93xb" w:colFirst="0" w:colLast="0"/>
      <w:bookmarkEnd w:id="124"/>
      <w:r>
        <w:rPr>
          <w:sz w:val="32"/>
          <w:szCs w:val="32"/>
        </w:rPr>
        <w:lastRenderedPageBreak/>
        <w:t xml:space="preserve">payment AND INVOICING </w:t>
      </w:r>
    </w:p>
    <w:p w:rsidR="001A2363" w:rsidRDefault="001A2363" w:rsidP="002D184F">
      <w:pPr>
        <w:numPr>
          <w:ilvl w:val="1"/>
          <w:numId w:val="11"/>
        </w:numPr>
        <w:spacing w:after="0" w:line="240" w:lineRule="auto"/>
        <w:rPr>
          <w:sz w:val="26"/>
          <w:szCs w:val="26"/>
        </w:rPr>
      </w:pPr>
      <w:r>
        <w:rPr>
          <w:sz w:val="24"/>
        </w:rPr>
        <w:t xml:space="preserve">Payment milestones will be agreed with the Supplier based on the schedule of work proposed. The Supplier shall issue invoices once deliverables have been signed off by the project lead. The Customer shall pay the Supplier within thirty (30) Working Days of receipt of a Valid Invoice, submitted in accordance with this paragraph. Payment can only be made following satisfactory delivery of pre-agreed certified products and deliverables. Before payment can be considered, each invoice must include a detailed elemental breakdown of work completed and the associated costs. </w:t>
      </w:r>
    </w:p>
    <w:p w:rsidR="001A2363" w:rsidRDefault="001A2363" w:rsidP="001A2363">
      <w:pPr>
        <w:ind w:left="720"/>
        <w:rPr>
          <w:sz w:val="24"/>
        </w:rPr>
      </w:pPr>
    </w:p>
    <w:p w:rsidR="001A2363" w:rsidRPr="00CD12F0" w:rsidRDefault="001A2363" w:rsidP="002D184F">
      <w:pPr>
        <w:numPr>
          <w:ilvl w:val="1"/>
          <w:numId w:val="11"/>
        </w:numPr>
        <w:spacing w:after="0" w:line="240" w:lineRule="auto"/>
        <w:rPr>
          <w:sz w:val="26"/>
          <w:szCs w:val="26"/>
        </w:rPr>
      </w:pPr>
      <w:r>
        <w:rPr>
          <w:sz w:val="24"/>
        </w:rPr>
        <w:t xml:space="preserve">Invoices should be submitted to: </w:t>
      </w:r>
      <w:r w:rsidR="00934E90">
        <w:rPr>
          <w:rFonts w:ascii="Arial" w:hAnsi="Arial" w:cs="Arial"/>
          <w:b/>
          <w:bCs/>
          <w:color w:val="FF0000"/>
        </w:rPr>
        <w:t>REDACTED TEXT under FOIA Section 40, Personal Information</w:t>
      </w:r>
      <w:r>
        <w:rPr>
          <w:sz w:val="24"/>
        </w:rPr>
        <w:t>. An electronic copy of the invoice will be sent to the Contract Manager, which will be agreed prior to Contract Signature. No invoice will be accepted without a valid Purchase Order reference.</w:t>
      </w:r>
    </w:p>
    <w:p w:rsidR="001A2363" w:rsidRDefault="001A2363" w:rsidP="001A2363">
      <w:pPr>
        <w:pStyle w:val="ListParagraph"/>
        <w:rPr>
          <w:sz w:val="26"/>
          <w:szCs w:val="26"/>
        </w:rPr>
      </w:pPr>
    </w:p>
    <w:p w:rsidR="001A2363" w:rsidRPr="00CD12F0" w:rsidRDefault="001A2363" w:rsidP="001A2363">
      <w:pPr>
        <w:ind w:left="720"/>
        <w:rPr>
          <w:sz w:val="26"/>
          <w:szCs w:val="26"/>
        </w:rPr>
      </w:pPr>
    </w:p>
    <w:p w:rsidR="001A2363" w:rsidRDefault="001A2363" w:rsidP="002D184F">
      <w:pPr>
        <w:pStyle w:val="Heading1"/>
        <w:keepLines w:val="0"/>
        <w:numPr>
          <w:ilvl w:val="0"/>
          <w:numId w:val="11"/>
        </w:numPr>
        <w:adjustRightInd w:val="0"/>
        <w:spacing w:before="0" w:after="120" w:line="240" w:lineRule="auto"/>
        <w:ind w:left="709" w:hanging="709"/>
        <w:jc w:val="both"/>
        <w:rPr>
          <w:sz w:val="32"/>
          <w:szCs w:val="32"/>
        </w:rPr>
      </w:pPr>
      <w:bookmarkStart w:id="125" w:name="_heading=h.3whwml4" w:colFirst="0" w:colLast="0"/>
      <w:bookmarkEnd w:id="125"/>
      <w:r>
        <w:rPr>
          <w:sz w:val="32"/>
          <w:szCs w:val="32"/>
        </w:rPr>
        <w:t xml:space="preserve">CONTRACT MANAGEMENT </w:t>
      </w:r>
    </w:p>
    <w:p w:rsidR="001A2363" w:rsidRDefault="001A2363" w:rsidP="002D184F">
      <w:pPr>
        <w:numPr>
          <w:ilvl w:val="1"/>
          <w:numId w:val="11"/>
        </w:numPr>
        <w:spacing w:after="0" w:line="240" w:lineRule="auto"/>
        <w:rPr>
          <w:sz w:val="26"/>
          <w:szCs w:val="26"/>
        </w:rPr>
      </w:pPr>
      <w:r>
        <w:rPr>
          <w:sz w:val="24"/>
        </w:rPr>
        <w:t xml:space="preserve">The contract will be managed by an Evaluation Adviser from the ETF. The supplier will attend weekly progress meetings to provide project updates, assess progress towards the deliverables, highlight risks, and discuss ways of working. Attendance at meetings will either be in-person at </w:t>
      </w:r>
      <w:r w:rsidR="00934E90">
        <w:rPr>
          <w:rFonts w:ascii="Arial" w:hAnsi="Arial" w:cs="Arial"/>
          <w:b/>
          <w:bCs/>
          <w:color w:val="FF0000"/>
        </w:rPr>
        <w:t>REDACTED TEXT under FOIA Section 40, Personal Information</w:t>
      </w:r>
      <w:r>
        <w:rPr>
          <w:sz w:val="24"/>
        </w:rPr>
        <w:t xml:space="preserve"> or held via video conferencing depending on the supplier’s location. Attendance at all meetings shall be at the supplier’s own expense.</w:t>
      </w:r>
    </w:p>
    <w:p w:rsidR="001A2363" w:rsidRDefault="001A2363" w:rsidP="001A2363">
      <w:pPr>
        <w:rPr>
          <w:sz w:val="24"/>
        </w:rPr>
      </w:pPr>
    </w:p>
    <w:p w:rsidR="001A2363" w:rsidRDefault="001A2363" w:rsidP="002D184F">
      <w:pPr>
        <w:numPr>
          <w:ilvl w:val="1"/>
          <w:numId w:val="11"/>
        </w:numPr>
        <w:spacing w:after="0" w:line="240" w:lineRule="auto"/>
        <w:rPr>
          <w:sz w:val="26"/>
          <w:szCs w:val="26"/>
        </w:rPr>
      </w:pPr>
      <w:r>
        <w:rPr>
          <w:sz w:val="24"/>
        </w:rPr>
        <w:t>At each of the project milestones, deliverables will be reviewed by the ETF team and signed off by the project lead. Final deliverables will also be reviewed for comment by a project steering group with members from the ETF, the IPA and HM Treasury.</w:t>
      </w:r>
    </w:p>
    <w:p w:rsidR="001A2363" w:rsidRDefault="001A2363" w:rsidP="001A2363">
      <w:pPr>
        <w:rPr>
          <w:sz w:val="24"/>
        </w:rPr>
      </w:pPr>
    </w:p>
    <w:p w:rsidR="001A2363" w:rsidRDefault="001A2363" w:rsidP="002D184F">
      <w:pPr>
        <w:numPr>
          <w:ilvl w:val="1"/>
          <w:numId w:val="11"/>
        </w:numPr>
        <w:spacing w:after="0" w:line="240" w:lineRule="auto"/>
        <w:rPr>
          <w:sz w:val="26"/>
          <w:szCs w:val="26"/>
        </w:rPr>
      </w:pPr>
      <w:r>
        <w:rPr>
          <w:sz w:val="24"/>
        </w:rPr>
        <w:t>We expect the appointed evaluators to have one lead project manager responsible for overseeing all components of the project. The supplier will be expected to communicate with the ETF in a range of ways including: in person meetings, video calls; and email exchanges. The frequency of face-to-face contact will be agreed and confirmed at the project inception meeting.</w:t>
      </w:r>
    </w:p>
    <w:p w:rsidR="001A2363" w:rsidRDefault="001A2363" w:rsidP="001A2363">
      <w:pPr>
        <w:rPr>
          <w:sz w:val="24"/>
        </w:rPr>
      </w:pPr>
      <w:r>
        <w:rPr>
          <w:sz w:val="24"/>
        </w:rPr>
        <w:t xml:space="preserve"> </w:t>
      </w:r>
    </w:p>
    <w:p w:rsidR="001A2363" w:rsidRDefault="001A2363" w:rsidP="002D184F">
      <w:pPr>
        <w:numPr>
          <w:ilvl w:val="1"/>
          <w:numId w:val="11"/>
        </w:numPr>
        <w:tabs>
          <w:tab w:val="left" w:pos="-1199"/>
          <w:tab w:val="left" w:pos="-719"/>
          <w:tab w:val="left" w:pos="0"/>
          <w:tab w:val="left" w:pos="543"/>
          <w:tab w:val="left" w:pos="1110"/>
          <w:tab w:val="left" w:pos="1677"/>
          <w:tab w:val="left" w:pos="2244"/>
          <w:tab w:val="left" w:pos="2811"/>
          <w:tab w:val="left" w:pos="3378"/>
          <w:tab w:val="left" w:pos="3945"/>
          <w:tab w:val="left" w:pos="451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sz w:val="26"/>
          <w:szCs w:val="26"/>
        </w:rPr>
      </w:pPr>
      <w:r>
        <w:rPr>
          <w:sz w:val="24"/>
        </w:rPr>
        <w:t>The ETF will provide advice and guidance on any issues during the course of the project. Where comments or input are required from the ETF the supplier should allow sufficient time for turnaround and give advance notice where possible. The appointed supplier should factor these clearance periods into project timings and indicate clearly in the timetable when such outputs will be submitted for clearance.</w:t>
      </w:r>
    </w:p>
    <w:p w:rsidR="001A2363" w:rsidRDefault="001A2363" w:rsidP="001A2363">
      <w:pPr>
        <w:pStyle w:val="Heading2"/>
        <w:spacing w:after="120"/>
        <w:rPr>
          <w:sz w:val="24"/>
          <w:szCs w:val="24"/>
        </w:rPr>
      </w:pPr>
    </w:p>
    <w:p w:rsidR="001A2363" w:rsidRDefault="001A2363" w:rsidP="002D184F">
      <w:pPr>
        <w:pStyle w:val="Heading1"/>
        <w:keepLines w:val="0"/>
        <w:numPr>
          <w:ilvl w:val="0"/>
          <w:numId w:val="11"/>
        </w:numPr>
        <w:adjustRightInd w:val="0"/>
        <w:spacing w:before="0" w:after="120" w:line="240" w:lineRule="auto"/>
        <w:jc w:val="both"/>
        <w:rPr>
          <w:sz w:val="32"/>
          <w:szCs w:val="32"/>
        </w:rPr>
      </w:pPr>
      <w:bookmarkStart w:id="126" w:name="_heading=h.2bn6wsx" w:colFirst="0" w:colLast="0"/>
      <w:bookmarkEnd w:id="126"/>
      <w:r>
        <w:rPr>
          <w:sz w:val="32"/>
          <w:szCs w:val="32"/>
        </w:rPr>
        <w:t xml:space="preserve">Location </w:t>
      </w:r>
    </w:p>
    <w:p w:rsidR="001A2363" w:rsidRDefault="001A2363" w:rsidP="002D184F">
      <w:pPr>
        <w:numPr>
          <w:ilvl w:val="1"/>
          <w:numId w:val="11"/>
        </w:numPr>
        <w:spacing w:after="0" w:line="240" w:lineRule="auto"/>
        <w:rPr>
          <w:sz w:val="26"/>
          <w:szCs w:val="26"/>
        </w:rPr>
      </w:pPr>
      <w:r>
        <w:rPr>
          <w:sz w:val="24"/>
        </w:rPr>
        <w:t xml:space="preserve">The Services will be carried out at the supplier’s offices. Attendance at meetings will either be in-person at </w:t>
      </w:r>
      <w:r w:rsidR="00934E90">
        <w:rPr>
          <w:rFonts w:ascii="Arial" w:hAnsi="Arial" w:cs="Arial"/>
          <w:b/>
          <w:bCs/>
          <w:color w:val="FF0000"/>
        </w:rPr>
        <w:t>REDACTED TEXT under FOIA Section 40, Personal Information</w:t>
      </w:r>
      <w:r w:rsidR="00934E90">
        <w:rPr>
          <w:rFonts w:ascii="Arial" w:hAnsi="Arial" w:cs="Arial"/>
          <w:b/>
          <w:bCs/>
          <w:color w:val="FF0000"/>
        </w:rPr>
        <w:t xml:space="preserve"> </w:t>
      </w:r>
      <w:r>
        <w:rPr>
          <w:sz w:val="24"/>
        </w:rPr>
        <w:t>or held via video conferencing. Interviews with major project teams should take place via video conferencing.</w:t>
      </w:r>
    </w:p>
    <w:p w:rsidR="001A2363" w:rsidRDefault="001A2363" w:rsidP="001A2363">
      <w:pPr>
        <w:pStyle w:val="Heading2"/>
        <w:spacing w:after="120"/>
      </w:pPr>
    </w:p>
    <w:p w:rsidR="001A2363" w:rsidRDefault="001A2363" w:rsidP="001A2363">
      <w:pPr>
        <w:tabs>
          <w:tab w:val="left" w:pos="1392"/>
        </w:tabs>
      </w:pPr>
    </w:p>
    <w:p w:rsidR="001A2363" w:rsidRDefault="001A2363" w:rsidP="001A2363">
      <w:pPr>
        <w:tabs>
          <w:tab w:val="left" w:pos="1392"/>
        </w:tabs>
      </w:pPr>
      <w:r>
        <w:t>Supplier Response</w:t>
      </w:r>
    </w:p>
    <w:p w:rsidR="001A2363" w:rsidRPr="001A2363" w:rsidRDefault="00934E90" w:rsidP="001A2363">
      <w:pPr>
        <w:tabs>
          <w:tab w:val="left" w:pos="1392"/>
        </w:tabs>
        <w:rPr>
          <w:b/>
        </w:rPr>
      </w:pPr>
      <w:r>
        <w:rPr>
          <w:rFonts w:ascii="Arial" w:hAnsi="Arial" w:cs="Arial"/>
          <w:b/>
          <w:bCs/>
          <w:color w:val="FF0000"/>
        </w:rPr>
        <w:t>REDACTED TEXT under FOIA Section 4</w:t>
      </w:r>
      <w:r>
        <w:rPr>
          <w:rFonts w:ascii="Arial" w:hAnsi="Arial" w:cs="Arial"/>
          <w:b/>
          <w:bCs/>
          <w:color w:val="FF0000"/>
        </w:rPr>
        <w:t>3</w:t>
      </w:r>
      <w:r>
        <w:rPr>
          <w:rFonts w:ascii="Arial" w:hAnsi="Arial" w:cs="Arial"/>
          <w:b/>
          <w:bCs/>
          <w:color w:val="FF0000"/>
        </w:rPr>
        <w:t xml:space="preserve">, </w:t>
      </w:r>
      <w:r>
        <w:rPr>
          <w:rFonts w:ascii="Arial" w:hAnsi="Arial" w:cs="Arial"/>
          <w:b/>
          <w:bCs/>
          <w:color w:val="FF0000"/>
        </w:rPr>
        <w:t>Commercial Interests</w:t>
      </w:r>
      <w:bookmarkStart w:id="127" w:name="_GoBack"/>
      <w:bookmarkEnd w:id="127"/>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tabs>
          <w:tab w:val="left" w:pos="1392"/>
        </w:tabs>
      </w:pPr>
    </w:p>
    <w:p w:rsidR="001A2363" w:rsidRDefault="001A2363" w:rsidP="001A2363">
      <w:pPr>
        <w:rPr>
          <w:b/>
          <w:sz w:val="32"/>
          <w:szCs w:val="32"/>
        </w:rPr>
      </w:pPr>
    </w:p>
    <w:p w:rsidR="001A2363" w:rsidRDefault="001A2363" w:rsidP="001A2363">
      <w:pPr>
        <w:rPr>
          <w:b/>
          <w:sz w:val="32"/>
          <w:szCs w:val="32"/>
        </w:rPr>
      </w:pPr>
    </w:p>
    <w:p w:rsidR="001A2363" w:rsidRDefault="001A2363" w:rsidP="001A2363">
      <w:pPr>
        <w:rPr>
          <w:b/>
          <w:sz w:val="32"/>
          <w:szCs w:val="32"/>
        </w:rPr>
      </w:pPr>
    </w:p>
    <w:p w:rsidR="001A2363" w:rsidRDefault="001A2363" w:rsidP="001A2363">
      <w:pPr>
        <w:rPr>
          <w:b/>
          <w:sz w:val="32"/>
          <w:szCs w:val="32"/>
        </w:rPr>
      </w:pPr>
    </w:p>
    <w:p w:rsidR="001A2363" w:rsidRDefault="001A2363" w:rsidP="001A2363">
      <w:pPr>
        <w:rPr>
          <w:b/>
          <w:sz w:val="32"/>
          <w:szCs w:val="32"/>
        </w:rPr>
      </w:pPr>
    </w:p>
    <w:p w:rsidR="00F00591" w:rsidRPr="00F00591" w:rsidRDefault="00F00591" w:rsidP="00F00591">
      <w:pPr>
        <w:rPr>
          <w:lang w:eastAsia="zh-CN"/>
        </w:rPr>
      </w:pPr>
    </w:p>
    <w:p w:rsidR="00F00591" w:rsidRPr="00F00591" w:rsidRDefault="00F00591" w:rsidP="00F00591">
      <w:pPr>
        <w:rPr>
          <w:lang w:eastAsia="zh-CN"/>
        </w:rPr>
      </w:pPr>
    </w:p>
    <w:p w:rsidR="0081513E" w:rsidRPr="00F00591" w:rsidRDefault="00F00591" w:rsidP="00F00591">
      <w:pPr>
        <w:tabs>
          <w:tab w:val="left" w:pos="1460"/>
        </w:tabs>
        <w:rPr>
          <w:lang w:eastAsia="zh-CN"/>
        </w:rPr>
      </w:pPr>
      <w:r>
        <w:rPr>
          <w:lang w:eastAsia="zh-CN"/>
        </w:rPr>
        <w:tab/>
      </w:r>
    </w:p>
    <w:sectPr w:rsidR="0081513E" w:rsidRPr="00F00591">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927" w:rsidRDefault="00F93927">
      <w:pPr>
        <w:spacing w:after="0" w:line="240" w:lineRule="auto"/>
      </w:pPr>
      <w:r>
        <w:separator/>
      </w:r>
    </w:p>
  </w:endnote>
  <w:endnote w:type="continuationSeparator" w:id="0">
    <w:p w:rsidR="00F93927" w:rsidRDefault="00F93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F1B" w:rsidRDefault="00FB1F1B" w:rsidP="00597414">
    <w:pPr>
      <w:tabs>
        <w:tab w:val="center" w:pos="4513"/>
        <w:tab w:val="right" w:pos="9026"/>
      </w:tabs>
      <w:spacing w:after="0"/>
      <w:rPr>
        <w:rFonts w:ascii="Arial" w:hAnsi="Arial" w:cs="Arial"/>
        <w:sz w:val="20"/>
      </w:rPr>
    </w:pPr>
  </w:p>
  <w:p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927" w:rsidRDefault="00F93927">
      <w:pPr>
        <w:spacing w:after="0" w:line="240" w:lineRule="auto"/>
      </w:pPr>
      <w:r>
        <w:separator/>
      </w:r>
    </w:p>
  </w:footnote>
  <w:footnote w:type="continuationSeparator" w:id="0">
    <w:p w:rsidR="00F93927" w:rsidRDefault="00F939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rsidR="005C04C4" w:rsidRPr="005C04C4" w:rsidRDefault="00F00591">
    <w:pPr>
      <w:pStyle w:val="Header"/>
      <w:rPr>
        <w:rFonts w:ascii="Arial" w:hAnsi="Arial" w:cs="Arial"/>
        <w:sz w:val="20"/>
        <w:szCs w:val="20"/>
      </w:rPr>
    </w:pPr>
    <w:r>
      <w:rPr>
        <w:rFonts w:ascii="Arial" w:hAnsi="Arial" w:cs="Arial"/>
        <w:sz w:val="20"/>
        <w:szCs w:val="20"/>
      </w:rPr>
      <w:t>Crown Copyright 2021</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9A4D67"/>
    <w:multiLevelType w:val="multilevel"/>
    <w:tmpl w:val="2EF24358"/>
    <w:lvl w:ilvl="0">
      <w:start w:val="1"/>
      <w:numFmt w:val="none"/>
      <w:pStyle w:val="04ABodyText"/>
      <w:suff w:val="nothing"/>
      <w:lvlText w:val=""/>
      <w:lvlJc w:val="left"/>
      <w:pPr>
        <w:ind w:left="0" w:firstLine="0"/>
      </w:pPr>
      <w:rPr>
        <w:rFonts w:hint="default"/>
      </w:rPr>
    </w:lvl>
    <w:lvl w:ilvl="1">
      <w:start w:val="1"/>
      <w:numFmt w:val="bullet"/>
      <w:pStyle w:val="05ABullets1stlevel"/>
      <w:lvlText w:val="▪"/>
      <w:lvlJc w:val="left"/>
      <w:pPr>
        <w:ind w:left="567" w:hanging="283"/>
      </w:pPr>
      <w:rPr>
        <w:rFonts w:ascii="Arial" w:hAnsi="Arial" w:hint="default"/>
        <w:color w:val="000000" w:themeColor="text1"/>
      </w:rPr>
    </w:lvl>
    <w:lvl w:ilvl="2">
      <w:start w:val="1"/>
      <w:numFmt w:val="bullet"/>
      <w:pStyle w:val="05BBullets2ndlevel"/>
      <w:lvlText w:val="−"/>
      <w:lvlJc w:val="left"/>
      <w:pPr>
        <w:ind w:left="851" w:hanging="284"/>
      </w:pPr>
      <w:rPr>
        <w:rFonts w:ascii="Arial" w:hAnsi="Arial" w:hint="default"/>
        <w:color w:val="000000" w:themeColor="text1"/>
      </w:rPr>
    </w:lvl>
    <w:lvl w:ilvl="3">
      <w:start w:val="1"/>
      <w:numFmt w:val="bullet"/>
      <w:lvlRestart w:val="1"/>
      <w:pStyle w:val="05CBulletswithoutspacing1stlevel"/>
      <w:lvlText w:val="▪"/>
      <w:lvlJc w:val="left"/>
      <w:pPr>
        <w:ind w:left="567" w:hanging="283"/>
      </w:pPr>
      <w:rPr>
        <w:rFonts w:ascii="Arial" w:hAnsi="Arial" w:hint="default"/>
        <w:b w:val="0"/>
        <w:i w:val="0"/>
        <w:color w:val="000000" w:themeColor="text1"/>
      </w:rPr>
    </w:lvl>
    <w:lvl w:ilvl="4">
      <w:start w:val="1"/>
      <w:numFmt w:val="decimal"/>
      <w:lvlRestart w:val="1"/>
      <w:pStyle w:val="06ANumberedList1stlevel"/>
      <w:lvlText w:val="%5."/>
      <w:lvlJc w:val="left"/>
      <w:pPr>
        <w:ind w:left="567" w:hanging="283"/>
      </w:pPr>
      <w:rPr>
        <w:rFonts w:ascii="Arial" w:hAnsi="Arial" w:hint="default"/>
        <w:b/>
        <w:i w:val="0"/>
        <w:color w:val="000000" w:themeColor="text1"/>
      </w:rPr>
    </w:lvl>
    <w:lvl w:ilvl="5">
      <w:start w:val="1"/>
      <w:numFmt w:val="lowerLetter"/>
      <w:pStyle w:val="06BNumberedList2ndlevel"/>
      <w:lvlText w:val="%6."/>
      <w:lvlJc w:val="left"/>
      <w:pPr>
        <w:ind w:left="851" w:hanging="284"/>
      </w:pPr>
      <w:rPr>
        <w:rFonts w:ascii="Arial" w:hAnsi="Arial" w:hint="default"/>
        <w:b/>
        <w:i w:val="0"/>
        <w:color w:val="000000" w:themeColor="text1"/>
      </w:rPr>
    </w:lvl>
    <w:lvl w:ilvl="6">
      <w:start w:val="1"/>
      <w:numFmt w:val="decimal"/>
      <w:lvlRestart w:val="1"/>
      <w:pStyle w:val="06CNumberedListwithoutspacing1stlevel"/>
      <w:lvlText w:val="%7."/>
      <w:lvlJc w:val="left"/>
      <w:pPr>
        <w:ind w:left="567" w:hanging="283"/>
      </w:pPr>
      <w:rPr>
        <w:rFonts w:ascii="Arial" w:hAnsi="Arial" w:hint="default"/>
        <w:b/>
        <w:i w:val="0"/>
        <w:color w:val="000000" w:themeColor="text1"/>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13B71"/>
    <w:multiLevelType w:val="multilevel"/>
    <w:tmpl w:val="2E26E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A53346"/>
    <w:multiLevelType w:val="hybridMultilevel"/>
    <w:tmpl w:val="D270BE3A"/>
    <w:lvl w:ilvl="0" w:tplc="9B801E74">
      <w:start w:val="1"/>
      <w:numFmt w:val="upperLetter"/>
      <w:lvlText w:val="%1."/>
      <w:lvlJc w:val="left"/>
      <w:pPr>
        <w:ind w:left="330" w:hanging="360"/>
      </w:pPr>
      <w:rPr>
        <w:rFonts w:hint="default"/>
      </w:rPr>
    </w:lvl>
    <w:lvl w:ilvl="1" w:tplc="08090019" w:tentative="1">
      <w:start w:val="1"/>
      <w:numFmt w:val="lowerLetter"/>
      <w:lvlText w:val="%2."/>
      <w:lvlJc w:val="left"/>
      <w:pPr>
        <w:ind w:left="1050" w:hanging="360"/>
      </w:pPr>
    </w:lvl>
    <w:lvl w:ilvl="2" w:tplc="0809001B" w:tentative="1">
      <w:start w:val="1"/>
      <w:numFmt w:val="lowerRoman"/>
      <w:lvlText w:val="%3."/>
      <w:lvlJc w:val="right"/>
      <w:pPr>
        <w:ind w:left="1770" w:hanging="180"/>
      </w:pPr>
    </w:lvl>
    <w:lvl w:ilvl="3" w:tplc="0809000F" w:tentative="1">
      <w:start w:val="1"/>
      <w:numFmt w:val="decimal"/>
      <w:lvlText w:val="%4."/>
      <w:lvlJc w:val="left"/>
      <w:pPr>
        <w:ind w:left="2490" w:hanging="360"/>
      </w:pPr>
    </w:lvl>
    <w:lvl w:ilvl="4" w:tplc="08090019" w:tentative="1">
      <w:start w:val="1"/>
      <w:numFmt w:val="lowerLetter"/>
      <w:lvlText w:val="%5."/>
      <w:lvlJc w:val="left"/>
      <w:pPr>
        <w:ind w:left="3210" w:hanging="360"/>
      </w:pPr>
    </w:lvl>
    <w:lvl w:ilvl="5" w:tplc="0809001B" w:tentative="1">
      <w:start w:val="1"/>
      <w:numFmt w:val="lowerRoman"/>
      <w:lvlText w:val="%6."/>
      <w:lvlJc w:val="right"/>
      <w:pPr>
        <w:ind w:left="3930" w:hanging="180"/>
      </w:pPr>
    </w:lvl>
    <w:lvl w:ilvl="6" w:tplc="0809000F" w:tentative="1">
      <w:start w:val="1"/>
      <w:numFmt w:val="decimal"/>
      <w:lvlText w:val="%7."/>
      <w:lvlJc w:val="left"/>
      <w:pPr>
        <w:ind w:left="4650" w:hanging="360"/>
      </w:pPr>
    </w:lvl>
    <w:lvl w:ilvl="7" w:tplc="08090019" w:tentative="1">
      <w:start w:val="1"/>
      <w:numFmt w:val="lowerLetter"/>
      <w:lvlText w:val="%8."/>
      <w:lvlJc w:val="left"/>
      <w:pPr>
        <w:ind w:left="5370" w:hanging="360"/>
      </w:pPr>
    </w:lvl>
    <w:lvl w:ilvl="8" w:tplc="0809001B" w:tentative="1">
      <w:start w:val="1"/>
      <w:numFmt w:val="lowerRoman"/>
      <w:lvlText w:val="%9."/>
      <w:lvlJc w:val="right"/>
      <w:pPr>
        <w:ind w:left="6090" w:hanging="180"/>
      </w:pPr>
    </w:lvl>
  </w:abstractNum>
  <w:abstractNum w:abstractNumId="5" w15:restartNumberingAfterBreak="0">
    <w:nsid w:val="1C354B9C"/>
    <w:multiLevelType w:val="multilevel"/>
    <w:tmpl w:val="DEE8265E"/>
    <w:lvl w:ilvl="0">
      <w:start w:val="1"/>
      <w:numFmt w:val="bullet"/>
      <w:pStyle w:val="AppHead"/>
      <w:lvlText w:val="●"/>
      <w:lvlJc w:val="left"/>
      <w:pPr>
        <w:ind w:left="720" w:hanging="360"/>
      </w:pPr>
      <w:rPr>
        <w:u w:val="none"/>
      </w:rPr>
    </w:lvl>
    <w:lvl w:ilvl="1">
      <w:start w:val="1"/>
      <w:numFmt w:val="bullet"/>
      <w:pStyle w:val="AppPar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E693E6A"/>
    <w:multiLevelType w:val="multilevel"/>
    <w:tmpl w:val="6BAE666C"/>
    <w:lvl w:ilvl="0">
      <w:start w:val="1"/>
      <w:numFmt w:val="bullet"/>
      <w:pStyle w:val="SchHead"/>
      <w:lvlText w:val="●"/>
      <w:lvlJc w:val="left"/>
      <w:pPr>
        <w:ind w:left="720" w:hanging="360"/>
      </w:pPr>
      <w:rPr>
        <w:u w:val="none"/>
      </w:rPr>
    </w:lvl>
    <w:lvl w:ilvl="1">
      <w:start w:val="1"/>
      <w:numFmt w:val="bullet"/>
      <w:pStyle w:val="SchPart"/>
      <w:lvlText w:val="○"/>
      <w:lvlJc w:val="left"/>
      <w:pPr>
        <w:ind w:left="1440" w:hanging="360"/>
      </w:pPr>
      <w:rPr>
        <w:u w:val="none"/>
      </w:rPr>
    </w:lvl>
    <w:lvl w:ilvl="2">
      <w:start w:val="1"/>
      <w:numFmt w:val="bullet"/>
      <w:pStyle w:val="SchSection"/>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C4312B2"/>
    <w:multiLevelType w:val="multilevel"/>
    <w:tmpl w:val="E5E41A9C"/>
    <w:lvl w:ilvl="0">
      <w:start w:val="1"/>
      <w:numFmt w:val="bullet"/>
      <w:pStyle w:val="ScheduleL1"/>
      <w:lvlText w:val="●"/>
      <w:lvlJc w:val="left"/>
      <w:pPr>
        <w:ind w:left="720" w:hanging="360"/>
      </w:pPr>
      <w:rPr>
        <w:u w:val="none"/>
      </w:rPr>
    </w:lvl>
    <w:lvl w:ilvl="1">
      <w:start w:val="1"/>
      <w:numFmt w:val="bullet"/>
      <w:pStyle w:val="ScheduleL2"/>
      <w:lvlText w:val="○"/>
      <w:lvlJc w:val="left"/>
      <w:pPr>
        <w:ind w:left="1440" w:hanging="360"/>
      </w:pPr>
      <w:rPr>
        <w:u w:val="none"/>
      </w:rPr>
    </w:lvl>
    <w:lvl w:ilvl="2">
      <w:start w:val="1"/>
      <w:numFmt w:val="bullet"/>
      <w:pStyle w:val="ScheduleL3"/>
      <w:lvlText w:val="■"/>
      <w:lvlJc w:val="left"/>
      <w:pPr>
        <w:ind w:left="2160" w:hanging="360"/>
      </w:pPr>
      <w:rPr>
        <w:u w:val="none"/>
      </w:rPr>
    </w:lvl>
    <w:lvl w:ilvl="3">
      <w:start w:val="1"/>
      <w:numFmt w:val="bullet"/>
      <w:pStyle w:val="ScheduleL4"/>
      <w:lvlText w:val="●"/>
      <w:lvlJc w:val="left"/>
      <w:pPr>
        <w:ind w:left="2880" w:hanging="360"/>
      </w:pPr>
      <w:rPr>
        <w:u w:val="none"/>
      </w:rPr>
    </w:lvl>
    <w:lvl w:ilvl="4">
      <w:start w:val="1"/>
      <w:numFmt w:val="bullet"/>
      <w:pStyle w:val="ScheduleL5"/>
      <w:lvlText w:val="○"/>
      <w:lvlJc w:val="left"/>
      <w:pPr>
        <w:ind w:left="3600" w:hanging="360"/>
      </w:pPr>
      <w:rPr>
        <w:u w:val="none"/>
      </w:rPr>
    </w:lvl>
    <w:lvl w:ilvl="5">
      <w:start w:val="1"/>
      <w:numFmt w:val="bullet"/>
      <w:pStyle w:val="ScheduleL6"/>
      <w:lvlText w:val="■"/>
      <w:lvlJc w:val="left"/>
      <w:pPr>
        <w:ind w:left="4320" w:hanging="360"/>
      </w:pPr>
      <w:rPr>
        <w:u w:val="none"/>
      </w:rPr>
    </w:lvl>
    <w:lvl w:ilvl="6">
      <w:start w:val="1"/>
      <w:numFmt w:val="bullet"/>
      <w:pStyle w:val="ScheduleL7"/>
      <w:lvlText w:val="●"/>
      <w:lvlJc w:val="left"/>
      <w:pPr>
        <w:ind w:left="5040" w:hanging="360"/>
      </w:pPr>
      <w:rPr>
        <w:u w:val="none"/>
      </w:rPr>
    </w:lvl>
    <w:lvl w:ilvl="7">
      <w:start w:val="1"/>
      <w:numFmt w:val="bullet"/>
      <w:pStyle w:val="ScheduleL8"/>
      <w:lvlText w:val="○"/>
      <w:lvlJc w:val="left"/>
      <w:pPr>
        <w:ind w:left="5760" w:hanging="360"/>
      </w:pPr>
      <w:rPr>
        <w:u w:val="none"/>
      </w:rPr>
    </w:lvl>
    <w:lvl w:ilvl="8">
      <w:start w:val="1"/>
      <w:numFmt w:val="bullet"/>
      <w:pStyle w:val="ScheduleL9"/>
      <w:lvlText w:val="■"/>
      <w:lvlJc w:val="left"/>
      <w:pPr>
        <w:ind w:left="6480" w:hanging="360"/>
      </w:pPr>
      <w:rPr>
        <w:u w:val="none"/>
      </w:rPr>
    </w:lvl>
  </w:abstractNum>
  <w:abstractNum w:abstractNumId="8" w15:restartNumberingAfterBreak="0">
    <w:nsid w:val="4BAD693A"/>
    <w:multiLevelType w:val="multilevel"/>
    <w:tmpl w:val="5FE0A996"/>
    <w:lvl w:ilvl="0">
      <w:start w:val="1"/>
      <w:numFmt w:val="decimal"/>
      <w:pStyle w:val="ListNumber"/>
      <w:lvlText w:val="%1."/>
      <w:lvlJc w:val="left"/>
      <w:pPr>
        <w:ind w:left="720" w:hanging="720"/>
      </w:pPr>
      <w:rPr>
        <w:i w:val="0"/>
        <w:smallCaps w:val="0"/>
        <w:color w:val="000000"/>
      </w:rPr>
    </w:lvl>
    <w:lvl w:ilvl="1">
      <w:start w:val="1"/>
      <w:numFmt w:val="decimal"/>
      <w:lvlText w:val="%1.%2"/>
      <w:lvlJc w:val="left"/>
      <w:pPr>
        <w:ind w:left="720" w:hanging="720"/>
      </w:pPr>
      <w:rPr>
        <w:i w:val="0"/>
        <w:smallCaps w:val="0"/>
        <w:color w:val="00000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D09128A"/>
    <w:multiLevelType w:val="multilevel"/>
    <w:tmpl w:val="B1EAE62A"/>
    <w:lvl w:ilvl="0">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6874F78"/>
    <w:multiLevelType w:val="multilevel"/>
    <w:tmpl w:val="C3BA57A4"/>
    <w:lvl w:ilvl="0">
      <w:start w:val="1"/>
      <w:numFmt w:val="bullet"/>
      <w:pStyle w:val="RecitalNumbering"/>
      <w:lvlText w:val="●"/>
      <w:lvlJc w:val="left"/>
      <w:pPr>
        <w:ind w:left="720" w:hanging="360"/>
      </w:pPr>
      <w:rPr>
        <w:u w:val="none"/>
      </w:rPr>
    </w:lvl>
    <w:lvl w:ilvl="1">
      <w:start w:val="1"/>
      <w:numFmt w:val="bullet"/>
      <w:pStyle w:val="RecitalNumbering2"/>
      <w:lvlText w:val="○"/>
      <w:lvlJc w:val="left"/>
      <w:pPr>
        <w:ind w:left="1440" w:hanging="360"/>
      </w:pPr>
      <w:rPr>
        <w:u w:val="none"/>
      </w:rPr>
    </w:lvl>
    <w:lvl w:ilvl="2">
      <w:start w:val="1"/>
      <w:numFmt w:val="bullet"/>
      <w:pStyle w:val="RecitalNumbering3"/>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9764F9E"/>
    <w:multiLevelType w:val="multilevel"/>
    <w:tmpl w:val="3D8C8362"/>
    <w:lvl w:ilvl="0">
      <w:start w:val="1"/>
      <w:numFmt w:val="bullet"/>
      <w:pStyle w:val="ListBullet1"/>
      <w:lvlText w:val="●"/>
      <w:lvlJc w:val="left"/>
      <w:pPr>
        <w:ind w:left="1440" w:hanging="360"/>
      </w:pPr>
      <w:rPr>
        <w:u w:val="none"/>
      </w:rPr>
    </w:lvl>
    <w:lvl w:ilvl="1">
      <w:start w:val="1"/>
      <w:numFmt w:val="bullet"/>
      <w:pStyle w:val="ListBullet2"/>
      <w:lvlText w:val="○"/>
      <w:lvlJc w:val="left"/>
      <w:pPr>
        <w:ind w:left="2160" w:hanging="360"/>
      </w:pPr>
      <w:rPr>
        <w:u w:val="none"/>
      </w:rPr>
    </w:lvl>
    <w:lvl w:ilvl="2">
      <w:start w:val="1"/>
      <w:numFmt w:val="bullet"/>
      <w:pStyle w:val="ListBullet3"/>
      <w:lvlText w:val="■"/>
      <w:lvlJc w:val="left"/>
      <w:pPr>
        <w:ind w:left="2880" w:hanging="360"/>
      </w:pPr>
      <w:rPr>
        <w:u w:val="none"/>
      </w:rPr>
    </w:lvl>
    <w:lvl w:ilvl="3">
      <w:start w:val="1"/>
      <w:numFmt w:val="bullet"/>
      <w:pStyle w:val="ListBullet4"/>
      <w:lvlText w:val="●"/>
      <w:lvlJc w:val="left"/>
      <w:pPr>
        <w:ind w:left="3600" w:hanging="360"/>
      </w:pPr>
      <w:rPr>
        <w:u w:val="none"/>
      </w:rPr>
    </w:lvl>
    <w:lvl w:ilvl="4">
      <w:start w:val="1"/>
      <w:numFmt w:val="bullet"/>
      <w:pStyle w:val="ListBullet5"/>
      <w:lvlText w:val="○"/>
      <w:lvlJc w:val="left"/>
      <w:pPr>
        <w:ind w:left="4320" w:hanging="360"/>
      </w:pPr>
      <w:rPr>
        <w:u w:val="none"/>
      </w:rPr>
    </w:lvl>
    <w:lvl w:ilvl="5">
      <w:start w:val="1"/>
      <w:numFmt w:val="bullet"/>
      <w:pStyle w:val="ListBullet6"/>
      <w:lvlText w:val="■"/>
      <w:lvlJc w:val="left"/>
      <w:pPr>
        <w:ind w:left="5040" w:hanging="360"/>
      </w:pPr>
      <w:rPr>
        <w:u w:val="none"/>
      </w:rPr>
    </w:lvl>
    <w:lvl w:ilvl="6">
      <w:start w:val="1"/>
      <w:numFmt w:val="bullet"/>
      <w:pStyle w:val="ListBullet7"/>
      <w:lvlText w:val="●"/>
      <w:lvlJc w:val="left"/>
      <w:pPr>
        <w:ind w:left="5760" w:hanging="360"/>
      </w:pPr>
      <w:rPr>
        <w:u w:val="none"/>
      </w:rPr>
    </w:lvl>
    <w:lvl w:ilvl="7">
      <w:start w:val="1"/>
      <w:numFmt w:val="bullet"/>
      <w:pStyle w:val="ListBullet8"/>
      <w:lvlText w:val="○"/>
      <w:lvlJc w:val="left"/>
      <w:pPr>
        <w:ind w:left="6480" w:hanging="360"/>
      </w:pPr>
      <w:rPr>
        <w:u w:val="none"/>
      </w:rPr>
    </w:lvl>
    <w:lvl w:ilvl="8">
      <w:start w:val="1"/>
      <w:numFmt w:val="bullet"/>
      <w:pStyle w:val="ListBullet9"/>
      <w:lvlText w:val="■"/>
      <w:lvlJc w:val="left"/>
      <w:pPr>
        <w:ind w:left="7200" w:hanging="360"/>
      </w:pPr>
      <w:rPr>
        <w:u w:val="none"/>
      </w:rPr>
    </w:lvl>
  </w:abstractNum>
  <w:abstractNum w:abstractNumId="12" w15:restartNumberingAfterBreak="0">
    <w:nsid w:val="59D17A00"/>
    <w:multiLevelType w:val="hybridMultilevel"/>
    <w:tmpl w:val="2ABA9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0E28F0"/>
    <w:multiLevelType w:val="hybridMultilevel"/>
    <w:tmpl w:val="91C607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79630EFD"/>
    <w:multiLevelType w:val="hybridMultilevel"/>
    <w:tmpl w:val="4DBC94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0"/>
  </w:num>
  <w:num w:numId="4">
    <w:abstractNumId w:val="2"/>
  </w:num>
  <w:num w:numId="5">
    <w:abstractNumId w:val="9"/>
  </w:num>
  <w:num w:numId="6">
    <w:abstractNumId w:val="7"/>
  </w:num>
  <w:num w:numId="7">
    <w:abstractNumId w:val="5"/>
  </w:num>
  <w:num w:numId="8">
    <w:abstractNumId w:val="6"/>
  </w:num>
  <w:num w:numId="9">
    <w:abstractNumId w:val="11"/>
  </w:num>
  <w:num w:numId="10">
    <w:abstractNumId w:val="10"/>
  </w:num>
  <w:num w:numId="11">
    <w:abstractNumId w:val="8"/>
  </w:num>
  <w:num w:numId="12">
    <w:abstractNumId w:val="4"/>
  </w:num>
  <w:num w:numId="13">
    <w:abstractNumId w:val="1"/>
  </w:num>
  <w:num w:numId="14">
    <w:abstractNumId w:val="13"/>
  </w:num>
  <w:num w:numId="15">
    <w:abstractNumId w:val="15"/>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649BE"/>
    <w:rsid w:val="001A2363"/>
    <w:rsid w:val="002D184F"/>
    <w:rsid w:val="002E32B7"/>
    <w:rsid w:val="00336691"/>
    <w:rsid w:val="00395C1A"/>
    <w:rsid w:val="00412D4E"/>
    <w:rsid w:val="004C111F"/>
    <w:rsid w:val="00562676"/>
    <w:rsid w:val="00597414"/>
    <w:rsid w:val="005B4E76"/>
    <w:rsid w:val="005C04C4"/>
    <w:rsid w:val="00616D25"/>
    <w:rsid w:val="00692171"/>
    <w:rsid w:val="00717FD0"/>
    <w:rsid w:val="007335CD"/>
    <w:rsid w:val="007E12FE"/>
    <w:rsid w:val="0081513E"/>
    <w:rsid w:val="00826DDA"/>
    <w:rsid w:val="00880F36"/>
    <w:rsid w:val="008F480A"/>
    <w:rsid w:val="00934E90"/>
    <w:rsid w:val="009612FD"/>
    <w:rsid w:val="00A4427B"/>
    <w:rsid w:val="00A663BD"/>
    <w:rsid w:val="00BF1FD7"/>
    <w:rsid w:val="00D236B6"/>
    <w:rsid w:val="00D2581B"/>
    <w:rsid w:val="00D44FC1"/>
    <w:rsid w:val="00DC54C2"/>
    <w:rsid w:val="00E067A8"/>
    <w:rsid w:val="00E63C82"/>
    <w:rsid w:val="00E86078"/>
    <w:rsid w:val="00E94174"/>
    <w:rsid w:val="00F00591"/>
    <w:rsid w:val="00F168FF"/>
    <w:rsid w:val="00F93927"/>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63B4D0"/>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rsid w:val="001A236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
    <w:semiHidden/>
    <w:unhideWhenUsed/>
    <w:qFormat/>
    <w:rsid w:val="001A2363"/>
    <w:pPr>
      <w:adjustRightInd w:val="0"/>
      <w:spacing w:after="240" w:line="240" w:lineRule="auto"/>
      <w:ind w:left="2880" w:hanging="360"/>
      <w:jc w:val="both"/>
      <w:outlineLvl w:val="3"/>
    </w:pPr>
    <w:rPr>
      <w:rFonts w:ascii="Arial" w:eastAsia="STZhongsong"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rsid w:val="001A2363"/>
    <w:pPr>
      <w:adjustRightInd w:val="0"/>
      <w:spacing w:after="240" w:line="240" w:lineRule="auto"/>
      <w:ind w:left="3600" w:hanging="360"/>
      <w:jc w:val="both"/>
      <w:outlineLvl w:val="4"/>
    </w:pPr>
    <w:rPr>
      <w:rFonts w:ascii="Arial" w:eastAsia="STZhongsong" w:hAnsi="Arial" w:cs="Arial"/>
      <w:lang w:eastAsia="zh-CN"/>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rsid w:val="001A2363"/>
    <w:pPr>
      <w:adjustRightInd w:val="0"/>
      <w:spacing w:after="240" w:line="240" w:lineRule="auto"/>
      <w:ind w:left="4320" w:hanging="360"/>
      <w:jc w:val="both"/>
      <w:outlineLvl w:val="5"/>
    </w:pPr>
    <w:rPr>
      <w:rFonts w:ascii="Arial" w:eastAsia="STZhongsong" w:hAnsi="Arial" w:cs="Arial"/>
      <w:lang w:eastAsia="zh-CN"/>
    </w:rPr>
  </w:style>
  <w:style w:type="paragraph" w:styleId="Heading7">
    <w:name w:val="heading 7"/>
    <w:aliases w:val="Heading 7 (Do Not Use),Heading 7(unused),Legal Level 1.1.,L2 PIP,Lev 7,H7DO NOT USE,PA Appendix Major"/>
    <w:basedOn w:val="Normal"/>
    <w:link w:val="Heading7Char"/>
    <w:qFormat/>
    <w:rsid w:val="001A2363"/>
    <w:pPr>
      <w:adjustRightInd w:val="0"/>
      <w:spacing w:after="240" w:line="240" w:lineRule="auto"/>
      <w:ind w:left="50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1A2363"/>
    <w:pPr>
      <w:adjustRightInd w:val="0"/>
      <w:spacing w:after="240" w:line="240" w:lineRule="auto"/>
      <w:ind w:left="57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1A2363"/>
    <w:pPr>
      <w:adjustRightInd w:val="0"/>
      <w:spacing w:after="240" w:line="240" w:lineRule="auto"/>
      <w:ind w:left="64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1A2363"/>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1A2363"/>
    <w:rPr>
      <w:rFonts w:ascii="Arial" w:eastAsia="STZhongsong"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1A2363"/>
    <w:rPr>
      <w:rFonts w:ascii="Arial" w:eastAsia="STZhongsong" w:hAnsi="Arial" w:cs="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uiPriority w:val="9"/>
    <w:semiHidden/>
    <w:rsid w:val="001A2363"/>
    <w:rPr>
      <w:rFonts w:ascii="Arial" w:eastAsia="STZhongsong" w:hAnsi="Arial" w:cs="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1A2363"/>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1A2363"/>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1A2363"/>
    <w:rPr>
      <w:rFonts w:ascii="Arial" w:eastAsia="STZhongsong" w:hAnsi="Arial" w:cs="Arial"/>
      <w:lang w:eastAsia="zh-CN"/>
    </w:rPr>
  </w:style>
  <w:style w:type="paragraph" w:customStyle="1" w:styleId="SchHead">
    <w:name w:val="SchHead"/>
    <w:basedOn w:val="Normal"/>
    <w:next w:val="SchPart"/>
    <w:rsid w:val="001A2363"/>
    <w:pPr>
      <w:keepNext/>
      <w:numPr>
        <w:numId w:val="8"/>
      </w:numPr>
      <w:adjustRightInd w:val="0"/>
      <w:spacing w:after="240" w:line="240" w:lineRule="auto"/>
      <w:jc w:val="center"/>
      <w:outlineLvl w:val="0"/>
    </w:pPr>
    <w:rPr>
      <w:rFonts w:ascii="Arial" w:eastAsia="STZhongsong" w:hAnsi="Arial" w:cs="Arial"/>
      <w:b/>
      <w:caps/>
      <w:lang w:eastAsia="zh-CN"/>
    </w:rPr>
  </w:style>
  <w:style w:type="paragraph" w:customStyle="1" w:styleId="ListBullet1">
    <w:name w:val="List Bullet 1"/>
    <w:basedOn w:val="Normal"/>
    <w:rsid w:val="001A2363"/>
    <w:pPr>
      <w:numPr>
        <w:numId w:val="9"/>
      </w:numPr>
      <w:adjustRightInd w:val="0"/>
      <w:spacing w:after="240" w:line="240" w:lineRule="auto"/>
      <w:jc w:val="both"/>
    </w:pPr>
    <w:rPr>
      <w:rFonts w:ascii="Arial" w:eastAsia="STZhongsong" w:hAnsi="Arial" w:cs="Arial"/>
      <w:lang w:eastAsia="zh-CN"/>
    </w:rPr>
  </w:style>
  <w:style w:type="paragraph" w:styleId="ListBullet2">
    <w:name w:val="List Bullet 2"/>
    <w:basedOn w:val="Normal"/>
    <w:rsid w:val="001A2363"/>
    <w:pPr>
      <w:numPr>
        <w:ilvl w:val="1"/>
        <w:numId w:val="9"/>
      </w:numPr>
      <w:adjustRightInd w:val="0"/>
      <w:spacing w:after="240" w:line="240" w:lineRule="auto"/>
      <w:jc w:val="both"/>
    </w:pPr>
    <w:rPr>
      <w:rFonts w:ascii="Arial" w:eastAsia="STZhongsong" w:hAnsi="Arial" w:cs="Arial"/>
      <w:lang w:eastAsia="zh-CN"/>
    </w:rPr>
  </w:style>
  <w:style w:type="paragraph" w:customStyle="1" w:styleId="AppHead">
    <w:name w:val="AppHead"/>
    <w:basedOn w:val="Normal"/>
    <w:rsid w:val="001A2363"/>
    <w:pPr>
      <w:numPr>
        <w:numId w:val="7"/>
      </w:numPr>
      <w:adjustRightInd w:val="0"/>
      <w:spacing w:after="240" w:line="240" w:lineRule="auto"/>
      <w:jc w:val="center"/>
      <w:outlineLvl w:val="0"/>
    </w:pPr>
    <w:rPr>
      <w:rFonts w:ascii="Arial" w:eastAsia="STZhongsong" w:hAnsi="Arial" w:cs="Arial"/>
      <w:b/>
      <w:caps/>
      <w:lang w:eastAsia="zh-CN"/>
    </w:rPr>
  </w:style>
  <w:style w:type="paragraph" w:customStyle="1" w:styleId="RecitalNumbering">
    <w:name w:val="Recital Numbering"/>
    <w:basedOn w:val="Normal"/>
    <w:rsid w:val="001A2363"/>
    <w:pPr>
      <w:numPr>
        <w:numId w:val="10"/>
      </w:numPr>
      <w:adjustRightInd w:val="0"/>
      <w:spacing w:after="240" w:line="240" w:lineRule="auto"/>
      <w:jc w:val="both"/>
      <w:outlineLvl w:val="0"/>
    </w:pPr>
    <w:rPr>
      <w:rFonts w:ascii="Arial" w:eastAsia="STZhongsong" w:hAnsi="Arial" w:cs="Arial"/>
      <w:lang w:eastAsia="zh-CN"/>
    </w:rPr>
  </w:style>
  <w:style w:type="paragraph" w:customStyle="1" w:styleId="SchPart">
    <w:name w:val="SchPart"/>
    <w:basedOn w:val="Normal"/>
    <w:next w:val="Normal"/>
    <w:rsid w:val="001A2363"/>
    <w:pPr>
      <w:keepNext/>
      <w:numPr>
        <w:ilvl w:val="1"/>
        <w:numId w:val="8"/>
      </w:numPr>
      <w:adjustRightInd w:val="0"/>
      <w:spacing w:after="240" w:line="240" w:lineRule="auto"/>
      <w:jc w:val="center"/>
      <w:outlineLvl w:val="1"/>
    </w:pPr>
    <w:rPr>
      <w:rFonts w:ascii="Arial" w:eastAsia="STZhongsong" w:hAnsi="Arial" w:cs="Arial"/>
      <w:b/>
      <w:lang w:eastAsia="zh-CN"/>
    </w:rPr>
  </w:style>
  <w:style w:type="paragraph" w:styleId="ListBullet3">
    <w:name w:val="List Bullet 3"/>
    <w:basedOn w:val="Normal"/>
    <w:rsid w:val="001A2363"/>
    <w:pPr>
      <w:numPr>
        <w:ilvl w:val="2"/>
        <w:numId w:val="9"/>
      </w:numPr>
      <w:adjustRightInd w:val="0"/>
      <w:spacing w:after="240" w:line="240" w:lineRule="auto"/>
      <w:jc w:val="both"/>
    </w:pPr>
    <w:rPr>
      <w:rFonts w:ascii="Arial" w:eastAsia="STZhongsong" w:hAnsi="Arial" w:cs="Arial"/>
      <w:lang w:eastAsia="zh-CN"/>
    </w:rPr>
  </w:style>
  <w:style w:type="paragraph" w:styleId="ListBullet4">
    <w:name w:val="List Bullet 4"/>
    <w:basedOn w:val="Normal"/>
    <w:rsid w:val="001A2363"/>
    <w:pPr>
      <w:numPr>
        <w:ilvl w:val="3"/>
        <w:numId w:val="9"/>
      </w:numPr>
      <w:adjustRightInd w:val="0"/>
      <w:spacing w:after="240" w:line="240" w:lineRule="auto"/>
      <w:jc w:val="both"/>
    </w:pPr>
    <w:rPr>
      <w:rFonts w:ascii="Arial" w:eastAsia="STZhongsong" w:hAnsi="Arial" w:cs="Arial"/>
      <w:lang w:eastAsia="zh-CN"/>
    </w:rPr>
  </w:style>
  <w:style w:type="paragraph" w:styleId="ListBullet5">
    <w:name w:val="List Bullet 5"/>
    <w:basedOn w:val="Normal"/>
    <w:rsid w:val="001A2363"/>
    <w:pPr>
      <w:numPr>
        <w:ilvl w:val="4"/>
        <w:numId w:val="9"/>
      </w:numPr>
      <w:adjustRightInd w:val="0"/>
      <w:spacing w:after="240" w:line="240" w:lineRule="auto"/>
      <w:jc w:val="both"/>
    </w:pPr>
    <w:rPr>
      <w:rFonts w:ascii="Arial" w:eastAsia="STZhongsong" w:hAnsi="Arial" w:cs="Arial"/>
      <w:lang w:eastAsia="zh-CN"/>
    </w:rPr>
  </w:style>
  <w:style w:type="paragraph" w:customStyle="1" w:styleId="ListBullet6">
    <w:name w:val="List Bullet 6"/>
    <w:basedOn w:val="Normal"/>
    <w:rsid w:val="001A2363"/>
    <w:pPr>
      <w:numPr>
        <w:ilvl w:val="5"/>
        <w:numId w:val="9"/>
      </w:numPr>
      <w:adjustRightInd w:val="0"/>
      <w:spacing w:after="240" w:line="240" w:lineRule="auto"/>
      <w:jc w:val="both"/>
    </w:pPr>
    <w:rPr>
      <w:rFonts w:ascii="Arial" w:eastAsia="STZhongsong" w:hAnsi="Arial" w:cs="Arial"/>
      <w:lang w:eastAsia="zh-CN"/>
    </w:rPr>
  </w:style>
  <w:style w:type="paragraph" w:customStyle="1" w:styleId="ListBullet7">
    <w:name w:val="List Bullet 7"/>
    <w:basedOn w:val="Normal"/>
    <w:rsid w:val="001A2363"/>
    <w:pPr>
      <w:numPr>
        <w:ilvl w:val="6"/>
        <w:numId w:val="9"/>
      </w:numPr>
      <w:adjustRightInd w:val="0"/>
      <w:spacing w:after="240" w:line="240" w:lineRule="auto"/>
      <w:jc w:val="both"/>
    </w:pPr>
    <w:rPr>
      <w:rFonts w:ascii="Arial" w:eastAsia="STZhongsong" w:hAnsi="Arial" w:cs="Arial"/>
      <w:lang w:eastAsia="zh-CN"/>
    </w:rPr>
  </w:style>
  <w:style w:type="paragraph" w:customStyle="1" w:styleId="ListBullet8">
    <w:name w:val="List Bullet 8"/>
    <w:basedOn w:val="Normal"/>
    <w:rsid w:val="001A2363"/>
    <w:pPr>
      <w:numPr>
        <w:ilvl w:val="7"/>
        <w:numId w:val="9"/>
      </w:numPr>
      <w:adjustRightInd w:val="0"/>
      <w:spacing w:after="240" w:line="240" w:lineRule="auto"/>
      <w:jc w:val="both"/>
    </w:pPr>
    <w:rPr>
      <w:rFonts w:ascii="Arial" w:eastAsia="STZhongsong" w:hAnsi="Arial" w:cs="Arial"/>
      <w:lang w:eastAsia="zh-CN"/>
    </w:rPr>
  </w:style>
  <w:style w:type="paragraph" w:customStyle="1" w:styleId="ListBullet9">
    <w:name w:val="List Bullet 9"/>
    <w:basedOn w:val="Normal"/>
    <w:rsid w:val="001A2363"/>
    <w:pPr>
      <w:numPr>
        <w:ilvl w:val="8"/>
        <w:numId w:val="9"/>
      </w:numPr>
      <w:adjustRightInd w:val="0"/>
      <w:spacing w:after="240" w:line="240" w:lineRule="auto"/>
      <w:jc w:val="both"/>
    </w:pPr>
    <w:rPr>
      <w:rFonts w:ascii="Arial" w:eastAsia="STZhongsong" w:hAnsi="Arial" w:cs="Arial"/>
      <w:lang w:eastAsia="zh-CN"/>
    </w:rPr>
  </w:style>
  <w:style w:type="paragraph" w:customStyle="1" w:styleId="ScheduleL1">
    <w:name w:val="Schedule L1"/>
    <w:basedOn w:val="Normal"/>
    <w:rsid w:val="001A2363"/>
    <w:pPr>
      <w:numPr>
        <w:numId w:val="6"/>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1A2363"/>
    <w:pPr>
      <w:numPr>
        <w:ilvl w:val="1"/>
        <w:numId w:val="6"/>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1A2363"/>
    <w:pPr>
      <w:numPr>
        <w:ilvl w:val="2"/>
        <w:numId w:val="6"/>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1A2363"/>
    <w:pPr>
      <w:numPr>
        <w:ilvl w:val="3"/>
        <w:numId w:val="6"/>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1A2363"/>
    <w:pPr>
      <w:numPr>
        <w:ilvl w:val="4"/>
        <w:numId w:val="6"/>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1A2363"/>
    <w:pPr>
      <w:numPr>
        <w:ilvl w:val="5"/>
        <w:numId w:val="6"/>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1A2363"/>
    <w:pPr>
      <w:numPr>
        <w:ilvl w:val="6"/>
        <w:numId w:val="6"/>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1A2363"/>
    <w:pPr>
      <w:numPr>
        <w:ilvl w:val="7"/>
        <w:numId w:val="6"/>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1A2363"/>
    <w:pPr>
      <w:numPr>
        <w:ilvl w:val="8"/>
        <w:numId w:val="6"/>
      </w:numPr>
      <w:adjustRightInd w:val="0"/>
      <w:spacing w:after="240" w:line="240" w:lineRule="auto"/>
      <w:jc w:val="both"/>
      <w:outlineLvl w:val="8"/>
    </w:pPr>
    <w:rPr>
      <w:rFonts w:ascii="Arial" w:eastAsia="STZhongsong" w:hAnsi="Arial" w:cs="Arial"/>
      <w:lang w:eastAsia="zh-CN"/>
    </w:rPr>
  </w:style>
  <w:style w:type="paragraph" w:customStyle="1" w:styleId="SchSection">
    <w:name w:val="SchSection"/>
    <w:basedOn w:val="Normal"/>
    <w:next w:val="Normal"/>
    <w:rsid w:val="001A2363"/>
    <w:pPr>
      <w:keepNext/>
      <w:numPr>
        <w:ilvl w:val="2"/>
        <w:numId w:val="8"/>
      </w:numPr>
      <w:adjustRightInd w:val="0"/>
      <w:spacing w:after="240" w:line="240" w:lineRule="auto"/>
      <w:jc w:val="center"/>
      <w:outlineLvl w:val="2"/>
    </w:pPr>
    <w:rPr>
      <w:rFonts w:ascii="Arial" w:eastAsia="STZhongsong" w:hAnsi="Arial" w:cs="Arial"/>
      <w:b/>
      <w:lang w:eastAsia="zh-CN"/>
    </w:rPr>
  </w:style>
  <w:style w:type="paragraph" w:customStyle="1" w:styleId="AppPart">
    <w:name w:val="AppPart"/>
    <w:basedOn w:val="Normal"/>
    <w:rsid w:val="001A2363"/>
    <w:pPr>
      <w:numPr>
        <w:ilvl w:val="1"/>
        <w:numId w:val="7"/>
      </w:numPr>
      <w:adjustRightInd w:val="0"/>
      <w:spacing w:after="240" w:line="240" w:lineRule="auto"/>
      <w:jc w:val="center"/>
      <w:outlineLvl w:val="1"/>
    </w:pPr>
    <w:rPr>
      <w:rFonts w:ascii="Arial" w:eastAsia="STZhongsong" w:hAnsi="Arial" w:cs="Arial"/>
      <w:b/>
      <w:lang w:eastAsia="zh-CN"/>
    </w:rPr>
  </w:style>
  <w:style w:type="paragraph" w:customStyle="1" w:styleId="RecitalNumbering2">
    <w:name w:val="Recital Numbering 2"/>
    <w:basedOn w:val="Normal"/>
    <w:rsid w:val="001A2363"/>
    <w:pPr>
      <w:numPr>
        <w:ilvl w:val="1"/>
        <w:numId w:val="10"/>
      </w:numPr>
      <w:overflowPunct w:val="0"/>
      <w:autoSpaceDE w:val="0"/>
      <w:autoSpaceDN w:val="0"/>
      <w:adjustRightInd w:val="0"/>
      <w:spacing w:after="240" w:line="240" w:lineRule="auto"/>
      <w:jc w:val="both"/>
      <w:textAlignment w:val="baseline"/>
    </w:pPr>
    <w:rPr>
      <w:rFonts w:ascii="Arial" w:eastAsia="STZhongsong" w:hAnsi="Arial" w:cs="Arial"/>
      <w:lang w:eastAsia="zh-CN"/>
    </w:rPr>
  </w:style>
  <w:style w:type="paragraph" w:customStyle="1" w:styleId="RecitalNumbering3">
    <w:name w:val="Recital Numbering 3"/>
    <w:basedOn w:val="Normal"/>
    <w:rsid w:val="001A2363"/>
    <w:pPr>
      <w:numPr>
        <w:ilvl w:val="2"/>
        <w:numId w:val="10"/>
      </w:numPr>
      <w:overflowPunct w:val="0"/>
      <w:autoSpaceDE w:val="0"/>
      <w:autoSpaceDN w:val="0"/>
      <w:adjustRightInd w:val="0"/>
      <w:spacing w:after="240" w:line="240" w:lineRule="auto"/>
      <w:jc w:val="both"/>
      <w:textAlignment w:val="baseline"/>
    </w:pPr>
    <w:rPr>
      <w:rFonts w:ascii="Arial" w:eastAsia="STZhongsong" w:hAnsi="Arial" w:cs="Arial"/>
      <w:lang w:eastAsia="zh-CN"/>
    </w:rPr>
  </w:style>
  <w:style w:type="paragraph" w:styleId="ListNumber">
    <w:name w:val="List Number"/>
    <w:basedOn w:val="Normal"/>
    <w:rsid w:val="001A2363"/>
    <w:pPr>
      <w:numPr>
        <w:numId w:val="11"/>
      </w:numPr>
      <w:spacing w:after="0" w:line="240" w:lineRule="auto"/>
    </w:pPr>
    <w:rPr>
      <w:rFonts w:ascii="Arial" w:eastAsia="SimSun" w:hAnsi="Arial" w:cs="Arial"/>
      <w:szCs w:val="24"/>
      <w:lang w:eastAsia="zh-CN"/>
    </w:rPr>
  </w:style>
  <w:style w:type="paragraph" w:styleId="ListParagraph">
    <w:name w:val="List Paragraph"/>
    <w:aliases w:val="cS List Paragraph,Lettre d'introduction,Paragrafo elenco,List Paragraph1,1st level - Bullet List Paragraph,Medium Grid 1 - Accent 21,Normal bullet 2,Numbered List,Numbered Para 1,Dot pt,No Spacing1,Bullet (Square)"/>
    <w:basedOn w:val="Normal"/>
    <w:link w:val="ListParagraphChar"/>
    <w:uiPriority w:val="34"/>
    <w:qFormat/>
    <w:rsid w:val="001A2363"/>
    <w:pPr>
      <w:spacing w:after="0" w:line="240" w:lineRule="auto"/>
      <w:ind w:left="720"/>
    </w:pPr>
    <w:rPr>
      <w:rFonts w:ascii="Arial" w:eastAsia="SimSun" w:hAnsi="Arial" w:cs="Arial"/>
      <w:szCs w:val="24"/>
      <w:lang w:eastAsia="zh-CN"/>
    </w:rPr>
  </w:style>
  <w:style w:type="paragraph" w:customStyle="1" w:styleId="04ABodyText">
    <w:name w:val="04A Body Text"/>
    <w:basedOn w:val="Normal"/>
    <w:link w:val="04ABodyTextChar"/>
    <w:qFormat/>
    <w:rsid w:val="001A2363"/>
    <w:pPr>
      <w:numPr>
        <w:numId w:val="13"/>
      </w:numPr>
      <w:spacing w:before="80" w:after="80" w:line="240" w:lineRule="auto"/>
    </w:pPr>
    <w:rPr>
      <w:rFonts w:ascii="Arial" w:eastAsia="Times New Roman" w:hAnsi="Arial" w:cs="Arial"/>
      <w:color w:val="000000" w:themeColor="text1"/>
      <w:szCs w:val="20"/>
      <w:lang w:eastAsia="en-GB"/>
    </w:rPr>
  </w:style>
  <w:style w:type="character" w:customStyle="1" w:styleId="04ABodyTextChar">
    <w:name w:val="04A Body Text Char"/>
    <w:basedOn w:val="DefaultParagraphFont"/>
    <w:link w:val="04ABodyText"/>
    <w:qFormat/>
    <w:rsid w:val="001A2363"/>
    <w:rPr>
      <w:rFonts w:ascii="Arial" w:eastAsia="Times New Roman" w:hAnsi="Arial" w:cs="Arial"/>
      <w:color w:val="000000" w:themeColor="text1"/>
      <w:szCs w:val="20"/>
      <w:lang w:eastAsia="en-GB"/>
    </w:rPr>
  </w:style>
  <w:style w:type="paragraph" w:customStyle="1" w:styleId="05ABullets1stlevel">
    <w:name w:val="05A Bullets (1st level)"/>
    <w:basedOn w:val="04ABodyText"/>
    <w:qFormat/>
    <w:rsid w:val="001A2363"/>
    <w:pPr>
      <w:numPr>
        <w:ilvl w:val="1"/>
      </w:numPr>
      <w:tabs>
        <w:tab w:val="num" w:pos="360"/>
        <w:tab w:val="num" w:pos="1440"/>
      </w:tabs>
      <w:ind w:left="681" w:hanging="397"/>
    </w:pPr>
  </w:style>
  <w:style w:type="paragraph" w:customStyle="1" w:styleId="05BBullets2ndlevel">
    <w:name w:val="05B Bullets (2nd level)"/>
    <w:basedOn w:val="05ABullets1stlevel"/>
    <w:qFormat/>
    <w:rsid w:val="001A2363"/>
    <w:pPr>
      <w:numPr>
        <w:ilvl w:val="2"/>
      </w:numPr>
      <w:tabs>
        <w:tab w:val="num" w:pos="360"/>
        <w:tab w:val="num" w:pos="1440"/>
        <w:tab w:val="num" w:pos="1996"/>
      </w:tabs>
      <w:ind w:left="1077" w:hanging="397"/>
    </w:pPr>
  </w:style>
  <w:style w:type="paragraph" w:customStyle="1" w:styleId="06ANumberedList1stlevel">
    <w:name w:val="06A Numbered List (1st level)"/>
    <w:basedOn w:val="04ABodyText"/>
    <w:qFormat/>
    <w:rsid w:val="001A2363"/>
    <w:pPr>
      <w:numPr>
        <w:ilvl w:val="4"/>
      </w:numPr>
      <w:tabs>
        <w:tab w:val="num" w:pos="360"/>
        <w:tab w:val="num" w:pos="3600"/>
      </w:tabs>
      <w:ind w:left="681" w:hanging="397"/>
    </w:pPr>
  </w:style>
  <w:style w:type="paragraph" w:customStyle="1" w:styleId="06BNumberedList2ndlevel">
    <w:name w:val="06B Numbered List (2nd level)"/>
    <w:basedOn w:val="04ABodyText"/>
    <w:qFormat/>
    <w:rsid w:val="001A2363"/>
    <w:pPr>
      <w:numPr>
        <w:ilvl w:val="5"/>
      </w:numPr>
      <w:tabs>
        <w:tab w:val="num" w:pos="360"/>
      </w:tabs>
      <w:ind w:left="1077" w:hanging="397"/>
    </w:pPr>
  </w:style>
  <w:style w:type="paragraph" w:customStyle="1" w:styleId="05CBulletswithoutspacing1stlevel">
    <w:name w:val="05C Bullets without spacing (1st level)"/>
    <w:basedOn w:val="05ABullets1stlevel"/>
    <w:qFormat/>
    <w:rsid w:val="001A2363"/>
    <w:pPr>
      <w:numPr>
        <w:ilvl w:val="3"/>
      </w:numPr>
      <w:tabs>
        <w:tab w:val="num" w:pos="360"/>
        <w:tab w:val="num" w:pos="1440"/>
        <w:tab w:val="num" w:pos="2880"/>
      </w:tabs>
      <w:ind w:left="681" w:hanging="397"/>
      <w:contextualSpacing/>
    </w:pPr>
  </w:style>
  <w:style w:type="paragraph" w:customStyle="1" w:styleId="06CNumberedListwithoutspacing1stlevel">
    <w:name w:val="06C Numbered List without spacing (1st level)"/>
    <w:basedOn w:val="06ANumberedList1stlevel"/>
    <w:qFormat/>
    <w:rsid w:val="001A2363"/>
    <w:pPr>
      <w:numPr>
        <w:ilvl w:val="6"/>
      </w:numPr>
      <w:tabs>
        <w:tab w:val="num" w:pos="360"/>
        <w:tab w:val="num" w:pos="3600"/>
      </w:tabs>
      <w:ind w:left="681" w:hanging="397"/>
      <w:contextualSpacing/>
    </w:pPr>
  </w:style>
  <w:style w:type="table" w:customStyle="1" w:styleId="GridTable1Light1">
    <w:name w:val="Grid Table 1 Light1"/>
    <w:basedOn w:val="TableNormal"/>
    <w:next w:val="GridTable1Light"/>
    <w:uiPriority w:val="46"/>
    <w:rsid w:val="001A2363"/>
    <w:pPr>
      <w:spacing w:after="0" w:line="240" w:lineRule="auto"/>
    </w:pPr>
    <w:rPr>
      <w:rFonts w:ascii="Arial" w:eastAsia="Times New Roman" w:hAnsi="Arial" w:cs="Arial"/>
      <w:color w:val="000000"/>
      <w:sz w:val="20"/>
      <w:szCs w:val="20"/>
      <w:lang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1A236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1A2363"/>
    <w:rPr>
      <w:color w:val="0000FF" w:themeColor="hyperlink"/>
      <w:u w:val="single"/>
    </w:rPr>
  </w:style>
  <w:style w:type="character" w:customStyle="1" w:styleId="ListParagraphChar">
    <w:name w:val="List Paragraph Char"/>
    <w:aliases w:val="cS List Paragraph Char,Lettre d'introduction Char,Paragrafo elenco Char,List Paragraph1 Char,1st level - Bullet List Paragraph Char,Medium Grid 1 - Accent 21 Char,Normal bullet 2 Char,Numbered List Char,Numbered Para 1 Char"/>
    <w:basedOn w:val="DefaultParagraphFont"/>
    <w:link w:val="ListParagraph"/>
    <w:uiPriority w:val="34"/>
    <w:qFormat/>
    <w:rsid w:val="001A2363"/>
    <w:rPr>
      <w:rFonts w:ascii="Arial" w:eastAsia="SimSun"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1118424/2022-11-16-Final-ETF-strategy.pptx.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ssets.publishing.service.gov.uk/government/uploads/system/uploads/attachment_data/file/879438/HMT_Magenta_Book.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ittees.parliament.uk/work/6433/use-of-evaluation-and-financial-modelling-in-government/publication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ao.org.uk/reports/evaluating-government-spending/" TargetMode="Externa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1092181/IPA_AR2022.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8BAC3-F2AB-4C47-BE28-65921D798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2709</Words>
  <Characters>15446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Charlie Beresford</cp:lastModifiedBy>
  <cp:revision>2</cp:revision>
  <dcterms:created xsi:type="dcterms:W3CDTF">2023-02-20T16:14:00Z</dcterms:created>
  <dcterms:modified xsi:type="dcterms:W3CDTF">2023-02-20T16:14:00Z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